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40535" w:rsidP="003F37EF" w:rsidRDefault="003F37EF" w14:paraId="36515A9D" wp14:textId="77777777">
      <w:pPr>
        <w:pStyle w:val="Title"/>
      </w:pPr>
      <w:r>
        <w:rPr>
          <w:noProof/>
        </w:rPr>
        <w:drawing>
          <wp:anchor xmlns:wp14="http://schemas.microsoft.com/office/word/2010/wordprocessingDrawing" distT="0" distB="0" distL="114300" distR="114300" simplePos="0" relativeHeight="251659264" behindDoc="0" locked="0" layoutInCell="1" allowOverlap="1" wp14:anchorId="61444599" wp14:editId="132EEA1B">
            <wp:simplePos x="0" y="0"/>
            <wp:positionH relativeFrom="margin">
              <wp:posOffset>2181225</wp:posOffset>
            </wp:positionH>
            <wp:positionV relativeFrom="page">
              <wp:posOffset>1009650</wp:posOffset>
            </wp:positionV>
            <wp:extent cx="3750310" cy="2590800"/>
            <wp:effectExtent l="0" t="0" r="2540" b="0"/>
            <wp:wrapSquare wrapText="bothSides"/>
            <wp:docPr id="930631558" name="Picture 1" descr="Bungalow Plan: 1,664 Square Feet, 3 Bedrooms, 2 Bathrooms - 034-0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galow Plan: 1,664 Square Feet, 3 Bedrooms, 2 Bathrooms - 034-008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31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7C49" w:rsidR="00540535">
        <w:t>Energy Investment Options</w:t>
      </w:r>
    </w:p>
    <w:p xmlns:wp14="http://schemas.microsoft.com/office/word/2010/wordml" w:rsidR="00540535" w:rsidP="003F37EF" w:rsidRDefault="00540535" w14:paraId="317B047D" wp14:textId="77777777">
      <w:pPr>
        <w:pStyle w:val="Title"/>
      </w:pPr>
      <w:r w:rsidRPr="00A57C49">
        <w:t>for the Smith and Jones Residence</w:t>
      </w:r>
      <w:r w:rsidRPr="00540535">
        <w:rPr>
          <w:rStyle w:val="FootnoteReference"/>
          <w:b/>
          <w:bCs/>
          <w:sz w:val="36"/>
          <w:szCs w:val="36"/>
        </w:rPr>
        <w:footnoteReference w:customMarkFollows="1" w:id="1"/>
        <w:t>ß</w:t>
      </w:r>
    </w:p>
    <w:p xmlns:wp14="http://schemas.microsoft.com/office/word/2010/wordml" w:rsidR="00540535" w:rsidP="00540535" w:rsidRDefault="00540535" w14:paraId="672A6659" wp14:textId="77777777">
      <w:pPr>
        <w:rPr>
          <w:b/>
          <w:bCs/>
          <w:sz w:val="24"/>
        </w:rPr>
      </w:pPr>
    </w:p>
    <w:p xmlns:wp14="http://schemas.microsoft.com/office/word/2010/wordml" w:rsidRPr="00343EFA" w:rsidR="003F37EF" w:rsidP="00540535" w:rsidRDefault="003F37EF" w14:paraId="0A37501D" wp14:textId="77777777">
      <w:pPr>
        <w:rPr>
          <w:b/>
          <w:bCs/>
          <w:sz w:val="24"/>
        </w:rPr>
      </w:pPr>
    </w:p>
    <w:p xmlns:wp14="http://schemas.microsoft.com/office/word/2010/wordml" w:rsidRPr="00343EFA" w:rsidR="00540535" w:rsidP="62031055" w:rsidRDefault="00540535" w14:paraId="0D909AED" wp14:textId="6E6BF1CB">
      <w:pPr>
        <w:spacing w:after="120"/>
        <w:rPr>
          <w:b w:val="1"/>
          <w:bCs w:val="1"/>
          <w:sz w:val="24"/>
          <w:szCs w:val="24"/>
        </w:rPr>
      </w:pPr>
      <w:r w:rsidRPr="62031055" w:rsidR="00540535">
        <w:rPr>
          <w:b w:val="1"/>
          <w:bCs w:val="1"/>
          <w:sz w:val="24"/>
          <w:szCs w:val="24"/>
        </w:rPr>
        <w:t>Name</w:t>
      </w:r>
      <w:r w:rsidRPr="62031055" w:rsidR="19DA15D7">
        <w:rPr>
          <w:b w:val="1"/>
          <w:bCs w:val="1"/>
          <w:sz w:val="24"/>
          <w:szCs w:val="24"/>
        </w:rPr>
        <w:t>: Alex Chizmadia</w:t>
      </w:r>
    </w:p>
    <w:p w:rsidR="00540535" w:rsidP="62031055" w:rsidRDefault="00540535" w14:paraId="6A57E764" w14:textId="3248FDF3">
      <w:pPr>
        <w:rPr>
          <w:b w:val="1"/>
          <w:bCs w:val="1"/>
          <w:sz w:val="24"/>
          <w:szCs w:val="24"/>
        </w:rPr>
      </w:pPr>
      <w:r w:rsidRPr="62031055" w:rsidR="00540535">
        <w:rPr>
          <w:b w:val="1"/>
          <w:bCs w:val="1"/>
          <w:sz w:val="24"/>
          <w:szCs w:val="24"/>
        </w:rPr>
        <w:t>Date</w:t>
      </w:r>
      <w:r w:rsidRPr="62031055" w:rsidR="1F214A28">
        <w:rPr>
          <w:b w:val="1"/>
          <w:bCs w:val="1"/>
          <w:sz w:val="24"/>
          <w:szCs w:val="24"/>
        </w:rPr>
        <w:t>: 5/14/25</w:t>
      </w:r>
    </w:p>
    <w:p xmlns:wp14="http://schemas.microsoft.com/office/word/2010/wordml" w:rsidRPr="00343EFA" w:rsidR="00540535" w:rsidP="00540535" w:rsidRDefault="00540535" w14:paraId="5DAB6C7B" wp14:textId="77777777">
      <w:pPr>
        <w:pBdr>
          <w:bottom w:val="single" w:color="auto" w:sz="4" w:space="1"/>
        </w:pBdr>
        <w:rPr>
          <w:b/>
          <w:bCs/>
          <w:sz w:val="24"/>
        </w:rPr>
      </w:pPr>
    </w:p>
    <w:p xmlns:wp14="http://schemas.microsoft.com/office/word/2010/wordml" w:rsidR="006F7DD0" w:rsidRDefault="006F7DD0" w14:paraId="02EB378F" wp14:textId="77777777"/>
    <w:p xmlns:wp14="http://schemas.microsoft.com/office/word/2010/wordml" w:rsidR="00540535" w:rsidP="00540535" w:rsidRDefault="00540535" w14:paraId="6C0E1DE5" wp14:textId="77777777">
      <w:pPr>
        <w:pStyle w:val="Heading1"/>
      </w:pPr>
      <w:r w:rsidR="00540535">
        <w:rPr/>
        <w:t>Overview</w:t>
      </w:r>
    </w:p>
    <w:p w:rsidR="611888C9" w:rsidP="62031055" w:rsidRDefault="611888C9" w14:paraId="31443048" w14:textId="2775B5E3">
      <w:pPr>
        <w:pStyle w:val="Normal"/>
        <w:suppressLineNumbers w:val="0"/>
        <w:bidi w:val="0"/>
        <w:spacing w:before="0" w:beforeAutospacing="off" w:after="0" w:afterAutospacing="off" w:line="240" w:lineRule="auto"/>
        <w:ind w:left="0" w:right="0"/>
        <w:jc w:val="left"/>
      </w:pPr>
      <w:r w:rsidR="611888C9">
        <w:rPr/>
        <w:t xml:space="preserve">This is an Energy Investment Options Report for the Smith and Jones Residence, they own a </w:t>
      </w:r>
      <w:r w:rsidR="611888C9">
        <w:rPr/>
        <w:t>1500 ft</w:t>
      </w:r>
      <w:r w:rsidRPr="62031055" w:rsidR="611888C9">
        <w:rPr>
          <w:vertAlign w:val="superscript"/>
        </w:rPr>
        <w:t>2</w:t>
      </w:r>
      <w:r w:rsidRPr="62031055" w:rsidR="6C708A3D">
        <w:rPr>
          <w:vertAlign w:val="superscript"/>
        </w:rPr>
        <w:t xml:space="preserve"> </w:t>
      </w:r>
      <w:r w:rsidR="7D474B5B">
        <w:rPr/>
        <w:t xml:space="preserve">home built in the 1950s in Harrisonburg, Virginia. They asked us to analyze 7 </w:t>
      </w:r>
      <w:r w:rsidR="7D474B5B">
        <w:rPr/>
        <w:t>possible strategies</w:t>
      </w:r>
      <w:r w:rsidR="7D474B5B">
        <w:rPr/>
        <w:t xml:space="preserve"> for </w:t>
      </w:r>
      <w:r w:rsidR="5044F42B">
        <w:rPr/>
        <w:t xml:space="preserve">decarbonizing their energy footprint and lowering expenses. The family has $20,000 to spend and does not want to borrow money to spend more than that. </w:t>
      </w:r>
      <w:r w:rsidR="7601251D">
        <w:rPr/>
        <w:t xml:space="preserve">They asked us to analyze 7 </w:t>
      </w:r>
      <w:r w:rsidR="5BE25332">
        <w:rPr/>
        <w:t>strategies</w:t>
      </w:r>
      <w:r w:rsidR="7601251D">
        <w:rPr/>
        <w:t xml:space="preserve"> including an Electric Vehicle, a new </w:t>
      </w:r>
      <w:r w:rsidR="790E392A">
        <w:rPr/>
        <w:t>furnace</w:t>
      </w:r>
      <w:r w:rsidR="7601251D">
        <w:rPr/>
        <w:t>, a new air conditioner, a hea</w:t>
      </w:r>
      <w:r w:rsidR="0E36EDE9">
        <w:rPr/>
        <w:t xml:space="preserve">t pump to replace the </w:t>
      </w:r>
      <w:r w:rsidR="612B1A64">
        <w:rPr/>
        <w:t>furnace</w:t>
      </w:r>
      <w:r w:rsidR="0E36EDE9">
        <w:rPr/>
        <w:t xml:space="preserve"> and air conditioner, </w:t>
      </w:r>
      <w:r w:rsidR="4051ED72">
        <w:rPr/>
        <w:t>then</w:t>
      </w:r>
      <w:r w:rsidR="0E36EDE9">
        <w:rPr/>
        <w:t xml:space="preserve"> new insulation, a new water </w:t>
      </w:r>
      <w:r w:rsidR="52F106DE">
        <w:rPr/>
        <w:t>heater</w:t>
      </w:r>
      <w:r w:rsidR="0E36EDE9">
        <w:rPr/>
        <w:t xml:space="preserve">, and a solar </w:t>
      </w:r>
      <w:r w:rsidR="0E36EDE9">
        <w:rPr/>
        <w:t>pv</w:t>
      </w:r>
      <w:r w:rsidR="0E36EDE9">
        <w:rPr/>
        <w:t xml:space="preserve"> system.</w:t>
      </w:r>
      <w:r w:rsidR="0168B97E">
        <w:rPr/>
        <w:t xml:space="preserve"> The life cycle for all of these was 15 years, </w:t>
      </w:r>
      <w:r w:rsidR="0168B97E">
        <w:rPr/>
        <w:t>except for</w:t>
      </w:r>
      <w:r w:rsidR="0168B97E">
        <w:rPr/>
        <w:t xml:space="preserve"> the solar </w:t>
      </w:r>
      <w:r w:rsidR="0168B97E">
        <w:rPr/>
        <w:t>pv</w:t>
      </w:r>
      <w:r w:rsidR="0168B97E">
        <w:rPr/>
        <w:t xml:space="preserve"> </w:t>
      </w:r>
      <w:r w:rsidR="0168B97E">
        <w:rPr/>
        <w:t>system th</w:t>
      </w:r>
      <w:r w:rsidR="0168B97E">
        <w:rPr/>
        <w:t>e life cycle is 20 years for that option.</w:t>
      </w:r>
      <w:r w:rsidR="64323393">
        <w:rPr/>
        <w:t xml:space="preserve"> A couple </w:t>
      </w:r>
      <w:r w:rsidR="64323393">
        <w:rPr/>
        <w:t>things</w:t>
      </w:r>
      <w:r w:rsidR="64323393">
        <w:rPr/>
        <w:t xml:space="preserve"> about this analysis are the furnace is 22 years old and will need a major repair soon and the air conditioner is also 12 years old and needs replacement soon. They will also likely need a new car in the next 5 years.</w:t>
      </w:r>
    </w:p>
    <w:p xmlns:wp14="http://schemas.microsoft.com/office/word/2010/wordml" w:rsidR="00E97A5B" w:rsidP="00D039E9" w:rsidRDefault="00D039E9" w14:paraId="79B66ACA" wp14:textId="77777777">
      <w:pPr>
        <w:pStyle w:val="Heading1"/>
      </w:pPr>
      <w:r w:rsidR="00D039E9">
        <w:rPr/>
        <w:t>Analysis</w:t>
      </w:r>
    </w:p>
    <w:p w:rsidR="10B33DFD" w:rsidP="62031055" w:rsidRDefault="10B33DFD" w14:paraId="7C9D7C50" w14:textId="5FD77250">
      <w:pPr>
        <w:spacing w:before="240" w:beforeAutospacing="off" w:after="240" w:afterAutospacing="off"/>
      </w:pPr>
      <w:r w:rsidRPr="62031055" w:rsidR="10B33DFD">
        <w:rPr>
          <w:rFonts w:ascii="Calibri" w:hAnsi="Calibri" w:eastAsia="Calibri" w:cs="Calibri"/>
          <w:noProof w:val="0"/>
          <w:sz w:val="20"/>
          <w:szCs w:val="20"/>
          <w:lang w:val="en-US"/>
        </w:rPr>
        <w:t>For this Energy Investment Options Report, we evaluated the economic viability of seven strategies using a 15-year life cycle analysis, which aligns with the typical lifespan of major home energy systems and provides a reasonable horizon for assessing long-term value. Our analysis incorporated three key metrics: life-cycle cost (LCC), net savings or cost, and simple payback period, allowing for a clear comparison of upfront investments and ongoing operating expenses. We also identified and included relevant federal tax incentives and local rebates where applicable to reflect realistic out-of-pocket costs.</w:t>
      </w:r>
    </w:p>
    <w:p w:rsidR="10B33DFD" w:rsidP="62031055" w:rsidRDefault="10B33DFD" w14:paraId="0593AFE1" w14:textId="032F1D93">
      <w:pPr>
        <w:spacing w:before="240" w:beforeAutospacing="off" w:after="240" w:afterAutospacing="off"/>
      </w:pPr>
      <w:r w:rsidRPr="62031055" w:rsidR="10B33DFD">
        <w:rPr>
          <w:rFonts w:ascii="Calibri" w:hAnsi="Calibri" w:eastAsia="Calibri" w:cs="Calibri"/>
          <w:noProof w:val="0"/>
          <w:sz w:val="20"/>
          <w:szCs w:val="20"/>
          <w:lang w:val="en-US"/>
        </w:rPr>
        <w:t xml:space="preserve">Options that involved varying levels of energy efficiency—such as the heat pump, air conditioner, water heater, and solar PV system—were assessed using current efficiency standards and high-efficiency alternatives to capture potential trade-offs between cost and performance. Energy prices used in the analysis were based on local utility rates in Harrisonburg, Virginia: $0.11 per kWh for electricity and $1.4815 per </w:t>
      </w:r>
      <w:r w:rsidRPr="62031055" w:rsidR="10B33DFD">
        <w:rPr>
          <w:rFonts w:ascii="Calibri" w:hAnsi="Calibri" w:eastAsia="Calibri" w:cs="Calibri"/>
          <w:noProof w:val="0"/>
          <w:sz w:val="20"/>
          <w:szCs w:val="20"/>
          <w:lang w:val="en-US"/>
        </w:rPr>
        <w:t>therm</w:t>
      </w:r>
      <w:r w:rsidRPr="62031055" w:rsidR="10B33DFD">
        <w:rPr>
          <w:rFonts w:ascii="Calibri" w:hAnsi="Calibri" w:eastAsia="Calibri" w:cs="Calibri"/>
          <w:noProof w:val="0"/>
          <w:sz w:val="20"/>
          <w:szCs w:val="20"/>
          <w:lang w:val="en-US"/>
        </w:rPr>
        <w:t xml:space="preserve"> for natural gas. Equipment and installation costs were estimated using realistic, regionally </w:t>
      </w:r>
      <w:r w:rsidRPr="62031055" w:rsidR="10B33DFD">
        <w:rPr>
          <w:rFonts w:ascii="Calibri" w:hAnsi="Calibri" w:eastAsia="Calibri" w:cs="Calibri"/>
          <w:noProof w:val="0"/>
          <w:sz w:val="20"/>
          <w:szCs w:val="20"/>
          <w:lang w:val="en-US"/>
        </w:rPr>
        <w:t>appropriate figures</w:t>
      </w:r>
      <w:r w:rsidRPr="62031055" w:rsidR="10B33DFD">
        <w:rPr>
          <w:rFonts w:ascii="Calibri" w:hAnsi="Calibri" w:eastAsia="Calibri" w:cs="Calibri"/>
          <w:noProof w:val="0"/>
          <w:sz w:val="20"/>
          <w:szCs w:val="20"/>
          <w:lang w:val="en-US"/>
        </w:rPr>
        <w:t>, though actual contractor pricing may vary. This approach ensures a practical comparison of each investment’s potential impact on energy use, carbon footprint, and household expenses.</w:t>
      </w:r>
    </w:p>
    <w:p xmlns:wp14="http://schemas.microsoft.com/office/word/2010/wordml" w:rsidR="009D4515" w:rsidP="009D4515" w:rsidRDefault="00E97A5B" w14:paraId="0A775C01" wp14:textId="77777777">
      <w:pPr>
        <w:pStyle w:val="Heading1"/>
      </w:pPr>
      <w:r>
        <w:t xml:space="preserve">Recommended Equipment Choices </w:t>
      </w:r>
    </w:p>
    <w:p xmlns:wp14="http://schemas.microsoft.com/office/word/2010/wordml" w:rsidR="00770075" w:rsidP="00D21FF8" w:rsidRDefault="00343EFA" w14:paraId="79826A35" wp14:textId="55011A0B">
      <w:r w:rsidR="00343EFA">
        <w:rPr/>
        <w:t xml:space="preserve">Based on </w:t>
      </w:r>
      <w:r w:rsidR="00C45C40">
        <w:rPr/>
        <w:t>our</w:t>
      </w:r>
      <w:r w:rsidR="00343EFA">
        <w:rPr/>
        <w:t xml:space="preserve"> benefit-cost analysis, </w:t>
      </w:r>
      <w:r w:rsidR="00C45C40">
        <w:rPr/>
        <w:t>we</w:t>
      </w:r>
      <w:r w:rsidR="00343EFA">
        <w:rPr/>
        <w:t xml:space="preserve"> recommend the equipment shown in Table 1 </w:t>
      </w:r>
      <w:r w:rsidR="00770075">
        <w:rPr/>
        <w:t xml:space="preserve">as the choice </w:t>
      </w:r>
      <w:r w:rsidR="00044E6C">
        <w:rPr/>
        <w:t xml:space="preserve">to be considered </w:t>
      </w:r>
      <w:r w:rsidR="00770075">
        <w:rPr/>
        <w:t xml:space="preserve">for each investment </w:t>
      </w:r>
      <w:r w:rsidR="00770075">
        <w:rPr/>
        <w:t>option</w:t>
      </w:r>
      <w:r w:rsidR="00770075">
        <w:rPr/>
        <w:t xml:space="preserve">. </w:t>
      </w:r>
      <w:r w:rsidR="00044E6C">
        <w:rPr/>
        <w:t xml:space="preserve">The recommended choices were used to calculate the investment purchase and installation costs and the annual cost savings compared to the existing systems in the home. </w:t>
      </w:r>
      <w:r w:rsidR="00B068BD">
        <w:rPr/>
        <w:t xml:space="preserve">Appendix A provides the supporting Life Cycle Cost table for each </w:t>
      </w:r>
      <w:r w:rsidR="00B068BD">
        <w:rPr/>
        <w:t>option</w:t>
      </w:r>
      <w:r w:rsidR="00B068BD">
        <w:rPr/>
        <w:t>.</w:t>
      </w:r>
    </w:p>
    <w:p xmlns:wp14="http://schemas.microsoft.com/office/word/2010/wordml" w:rsidR="00540535" w:rsidP="62031055" w:rsidRDefault="00540535" w14:paraId="60061E4C" wp14:noSpellErr="1" wp14:textId="07ABF2D9">
      <w:pPr>
        <w:pStyle w:val="Normal"/>
        <w:rPr>
          <w:highlight w:val="yellow"/>
        </w:rPr>
      </w:pPr>
    </w:p>
    <w:tbl>
      <w:tblPr>
        <w:tblStyle w:val="TableGrid"/>
        <w:tblW w:w="0" w:type="auto"/>
        <w:tblLook w:val="04A0" w:firstRow="1" w:lastRow="0" w:firstColumn="1" w:lastColumn="0" w:noHBand="0" w:noVBand="1"/>
      </w:tblPr>
      <w:tblGrid>
        <w:gridCol w:w="1975"/>
        <w:gridCol w:w="2345"/>
        <w:gridCol w:w="5030"/>
      </w:tblGrid>
      <w:tr xmlns:wp14="http://schemas.microsoft.com/office/word/2010/wordml" w:rsidR="00343EFA" w:rsidTr="62031055" w14:paraId="280ABCEA" wp14:textId="77777777">
        <w:trPr>
          <w:cantSplit/>
          <w:tblHeader/>
        </w:trPr>
        <w:tc>
          <w:tcPr>
            <w:tcW w:w="9350" w:type="dxa"/>
            <w:gridSpan w:val="3"/>
            <w:tcBorders>
              <w:top w:val="nil"/>
              <w:left w:val="nil"/>
              <w:right w:val="nil"/>
            </w:tcBorders>
            <w:shd w:val="clear" w:color="auto" w:fill="auto"/>
            <w:tcMar/>
            <w:vAlign w:val="bottom"/>
          </w:tcPr>
          <w:p w:rsidRPr="00C45C40" w:rsidR="00343EFA" w:rsidP="000101A6" w:rsidRDefault="000101A6" w14:paraId="01B33CE6" wp14:textId="77777777">
            <w:pPr>
              <w:spacing w:before="120" w:after="120"/>
              <w:rPr>
                <w:b/>
                <w:sz w:val="24"/>
              </w:rPr>
            </w:pPr>
            <w:r w:rsidRPr="00C45C40">
              <w:rPr>
                <w:b/>
                <w:sz w:val="24"/>
              </w:rPr>
              <w:t xml:space="preserve">Table 1. </w:t>
            </w:r>
            <w:r w:rsidRPr="00C45C40" w:rsidR="00770075">
              <w:rPr>
                <w:b/>
                <w:sz w:val="24"/>
              </w:rPr>
              <w:t>Equipment choices that best</w:t>
            </w:r>
            <w:r w:rsidRPr="00C45C40">
              <w:rPr>
                <w:b/>
                <w:sz w:val="24"/>
              </w:rPr>
              <w:t xml:space="preserve"> </w:t>
            </w:r>
            <w:r w:rsidRPr="00C45C40" w:rsidR="00770075">
              <w:rPr>
                <w:b/>
                <w:sz w:val="24"/>
              </w:rPr>
              <w:t>optimize cost and energy efficiency</w:t>
            </w:r>
          </w:p>
        </w:tc>
      </w:tr>
      <w:tr xmlns:wp14="http://schemas.microsoft.com/office/word/2010/wordml" w:rsidR="009B6128" w:rsidTr="62031055" w14:paraId="0BC22C6A" wp14:textId="77777777">
        <w:trPr>
          <w:cantSplit/>
          <w:tblHeader/>
        </w:trPr>
        <w:tc>
          <w:tcPr>
            <w:tcW w:w="1975" w:type="dxa"/>
            <w:shd w:val="clear" w:color="auto" w:fill="E7E6E6" w:themeFill="background2"/>
            <w:tcMar/>
            <w:vAlign w:val="bottom"/>
          </w:tcPr>
          <w:p w:rsidRPr="001C3D60" w:rsidR="009B6128" w:rsidP="007C457C" w:rsidRDefault="009B6128" w14:paraId="146EBB8F" wp14:textId="77777777">
            <w:pPr>
              <w:spacing w:before="120" w:after="120"/>
              <w:rPr>
                <w:b/>
              </w:rPr>
            </w:pPr>
            <w:r w:rsidRPr="001C3D60">
              <w:rPr>
                <w:b/>
              </w:rPr>
              <w:t>Investment Option</w:t>
            </w:r>
          </w:p>
        </w:tc>
        <w:tc>
          <w:tcPr>
            <w:tcW w:w="2345" w:type="dxa"/>
            <w:shd w:val="clear" w:color="auto" w:fill="E7E6E6" w:themeFill="background2"/>
            <w:tcMar/>
            <w:vAlign w:val="bottom"/>
          </w:tcPr>
          <w:p w:rsidRPr="001C3D60" w:rsidR="009B6128" w:rsidP="007C457C" w:rsidRDefault="00C52FBD" w14:paraId="72C392DA" wp14:textId="77777777">
            <w:pPr>
              <w:spacing w:before="120" w:after="120"/>
              <w:jc w:val="center"/>
              <w:rPr>
                <w:b/>
              </w:rPr>
            </w:pPr>
            <w:r>
              <w:rPr>
                <w:b/>
              </w:rPr>
              <w:t>Recommended Equipment</w:t>
            </w:r>
            <w:r w:rsidR="00BE18A4">
              <w:rPr>
                <w:b/>
              </w:rPr>
              <w:t xml:space="preserve"> </w:t>
            </w:r>
            <w:r w:rsidR="009D7650">
              <w:rPr>
                <w:b/>
              </w:rPr>
              <w:t>Choice</w:t>
            </w:r>
            <w:r w:rsidR="00BE18A4">
              <w:rPr>
                <w:b/>
              </w:rPr>
              <w:t>/Efficiency/Size</w:t>
            </w:r>
            <w:r w:rsidRPr="001C3D60" w:rsidR="009B6128">
              <w:rPr>
                <w:b/>
              </w:rPr>
              <w:t xml:space="preserve"> </w:t>
            </w:r>
          </w:p>
        </w:tc>
        <w:tc>
          <w:tcPr>
            <w:tcW w:w="5030" w:type="dxa"/>
            <w:shd w:val="clear" w:color="auto" w:fill="E7E6E6" w:themeFill="background2"/>
            <w:tcMar/>
            <w:vAlign w:val="bottom"/>
          </w:tcPr>
          <w:p w:rsidRPr="001C3D60" w:rsidR="009B6128" w:rsidP="007C457C" w:rsidRDefault="001C3D60" w14:paraId="7BF504D8" wp14:textId="77777777">
            <w:pPr>
              <w:spacing w:before="120" w:after="120"/>
              <w:jc w:val="center"/>
              <w:rPr>
                <w:b/>
              </w:rPr>
            </w:pPr>
            <w:r w:rsidRPr="001C3D60">
              <w:rPr>
                <w:b/>
              </w:rPr>
              <w:t>Explanation</w:t>
            </w:r>
          </w:p>
        </w:tc>
      </w:tr>
      <w:tr xmlns:wp14="http://schemas.microsoft.com/office/word/2010/wordml" w:rsidR="009B6128" w:rsidTr="62031055" w14:paraId="2FC9DD23" wp14:textId="77777777">
        <w:tc>
          <w:tcPr>
            <w:tcW w:w="1975" w:type="dxa"/>
            <w:tcMar/>
            <w:vAlign w:val="center"/>
          </w:tcPr>
          <w:p w:rsidRPr="007C457C" w:rsidR="009B6128" w:rsidP="00C52FBD" w:rsidRDefault="009B6128" w14:paraId="4F036D33" wp14:textId="77777777">
            <w:pPr>
              <w:rPr>
                <w:rFonts w:ascii="Arial Narrow" w:hAnsi="Arial Narrow"/>
                <w:b/>
              </w:rPr>
            </w:pPr>
            <w:r w:rsidRPr="007C457C">
              <w:rPr>
                <w:rFonts w:ascii="Arial Narrow" w:hAnsi="Arial Narrow"/>
                <w:b/>
              </w:rPr>
              <w:t>Electric Vehicle</w:t>
            </w:r>
          </w:p>
        </w:tc>
        <w:tc>
          <w:tcPr>
            <w:tcW w:w="2345" w:type="dxa"/>
            <w:tcMar/>
            <w:vAlign w:val="center"/>
          </w:tcPr>
          <w:p w:rsidRPr="007C457C" w:rsidR="009B6128" w:rsidP="00FB56DE" w:rsidRDefault="009B6128" w14:paraId="44EAFD9C" wp14:textId="33EE21B5">
            <w:pPr>
              <w:jc w:val="center"/>
              <w:rPr>
                <w:rFonts w:ascii="Arial Narrow" w:hAnsi="Arial Narrow"/>
              </w:rPr>
            </w:pPr>
            <w:r w:rsidRPr="62031055" w:rsidR="502A6AFF">
              <w:rPr>
                <w:rFonts w:ascii="Arial Narrow" w:hAnsi="Arial Narrow"/>
              </w:rPr>
              <w:t>Nissan Leaf S</w:t>
            </w:r>
            <w:r w:rsidRPr="62031055" w:rsidR="50C34915">
              <w:rPr>
                <w:rFonts w:ascii="Arial Narrow" w:hAnsi="Arial Narrow"/>
              </w:rPr>
              <w:t xml:space="preserve"> (2022)</w:t>
            </w:r>
          </w:p>
        </w:tc>
        <w:tc>
          <w:tcPr>
            <w:tcW w:w="5030" w:type="dxa"/>
            <w:tcMar/>
            <w:vAlign w:val="center"/>
          </w:tcPr>
          <w:p w:rsidRPr="007C457C" w:rsidR="009B6128" w:rsidP="62031055" w:rsidRDefault="001808BC" w14:paraId="1606598C" wp14:textId="145C1307">
            <w:pPr>
              <w:pStyle w:val="Normal"/>
              <w:suppressLineNumbers w:val="0"/>
              <w:bidi w:val="0"/>
              <w:spacing w:before="0" w:beforeAutospacing="off" w:after="0" w:afterAutospacing="off" w:line="240" w:lineRule="auto"/>
              <w:ind w:left="0" w:right="0"/>
              <w:jc w:val="left"/>
              <w:rPr>
                <w:rFonts w:ascii="Arial Narrow" w:hAnsi="Arial Narrow"/>
              </w:rPr>
            </w:pPr>
            <w:r w:rsidRPr="62031055" w:rsidR="502A6AFF">
              <w:rPr>
                <w:rFonts w:ascii="Arial Narrow" w:hAnsi="Arial Narrow"/>
              </w:rPr>
              <w:t xml:space="preserve">The Nissan Leaf S is the best choice for this family, especially if they are driving </w:t>
            </w:r>
            <w:r w:rsidRPr="62031055" w:rsidR="2F01F97E">
              <w:rPr>
                <w:rFonts w:ascii="Arial Narrow" w:hAnsi="Arial Narrow"/>
              </w:rPr>
              <w:t xml:space="preserve">it </w:t>
            </w:r>
            <w:r w:rsidRPr="62031055" w:rsidR="502A6AFF">
              <w:rPr>
                <w:rFonts w:ascii="Arial Narrow" w:hAnsi="Arial Narrow"/>
              </w:rPr>
              <w:t>as their secondary vehicle doing only 8,000 rather than 18,000</w:t>
            </w:r>
            <w:r w:rsidRPr="62031055" w:rsidR="0871C574">
              <w:rPr>
                <w:rFonts w:ascii="Arial Narrow" w:hAnsi="Arial Narrow"/>
              </w:rPr>
              <w:t xml:space="preserve"> Miles</w:t>
            </w:r>
            <w:r w:rsidRPr="62031055" w:rsidR="502A6AFF">
              <w:rPr>
                <w:rFonts w:ascii="Arial Narrow" w:hAnsi="Arial Narrow"/>
              </w:rPr>
              <w:t>.</w:t>
            </w:r>
            <w:r w:rsidRPr="62031055" w:rsidR="141FAB30">
              <w:rPr>
                <w:rFonts w:ascii="Arial Narrow" w:hAnsi="Arial Narrow"/>
              </w:rPr>
              <w:t xml:space="preserve"> The Nissan Leaf is much cheaper than the other options upfront to buy and auto insurance is lower, with the LCC being </w:t>
            </w:r>
            <w:r w:rsidRPr="62031055" w:rsidR="006C943E">
              <w:rPr>
                <w:rFonts w:ascii="Arial Narrow" w:hAnsi="Arial Narrow"/>
              </w:rPr>
              <w:t>$</w:t>
            </w:r>
            <w:r w:rsidRPr="62031055" w:rsidR="141FAB30">
              <w:rPr>
                <w:rFonts w:ascii="Arial Narrow" w:hAnsi="Arial Narrow"/>
              </w:rPr>
              <w:t>4,000 cheape</w:t>
            </w:r>
            <w:r w:rsidRPr="62031055" w:rsidR="62A4C82D">
              <w:rPr>
                <w:rFonts w:ascii="Arial Narrow" w:hAnsi="Arial Narrow"/>
              </w:rPr>
              <w:t xml:space="preserve">r than Tesla and </w:t>
            </w:r>
            <w:r w:rsidRPr="62031055" w:rsidR="1DEB96E5">
              <w:rPr>
                <w:rFonts w:ascii="Arial Narrow" w:hAnsi="Arial Narrow"/>
              </w:rPr>
              <w:t>$</w:t>
            </w:r>
            <w:r w:rsidRPr="62031055" w:rsidR="62A4C82D">
              <w:rPr>
                <w:rFonts w:ascii="Arial Narrow" w:hAnsi="Arial Narrow"/>
              </w:rPr>
              <w:t>19,400 cheaper than the Bolt</w:t>
            </w:r>
            <w:r w:rsidRPr="62031055" w:rsidR="6DDB3651">
              <w:rPr>
                <w:rFonts w:ascii="Arial Narrow" w:hAnsi="Arial Narrow"/>
              </w:rPr>
              <w:t xml:space="preserve">, as the primary vehicle. If </w:t>
            </w:r>
            <w:r w:rsidRPr="62031055" w:rsidR="67DA5379">
              <w:rPr>
                <w:rFonts w:ascii="Arial Narrow" w:hAnsi="Arial Narrow"/>
              </w:rPr>
              <w:t>driven at</w:t>
            </w:r>
            <w:r w:rsidRPr="62031055" w:rsidR="6DDB3651">
              <w:rPr>
                <w:rFonts w:ascii="Arial Narrow" w:hAnsi="Arial Narrow"/>
              </w:rPr>
              <w:t xml:space="preserve"> 8,000 it needs </w:t>
            </w:r>
            <w:r w:rsidRPr="62031055" w:rsidR="6DDB3651">
              <w:rPr>
                <w:rFonts w:ascii="Arial Narrow" w:hAnsi="Arial Narrow"/>
              </w:rPr>
              <w:t>less</w:t>
            </w:r>
            <w:r w:rsidRPr="62031055" w:rsidR="6DDB3651">
              <w:rPr>
                <w:rFonts w:ascii="Arial Narrow" w:hAnsi="Arial Narrow"/>
              </w:rPr>
              <w:t xml:space="preserve"> battery replacements and the LCC is $13,000 cheaper than Tesla.</w:t>
            </w:r>
          </w:p>
        </w:tc>
      </w:tr>
      <w:tr xmlns:wp14="http://schemas.microsoft.com/office/word/2010/wordml" w:rsidR="009B6128" w:rsidTr="62031055" w14:paraId="2773AE0C" wp14:textId="77777777">
        <w:trPr>
          <w:cantSplit/>
        </w:trPr>
        <w:tc>
          <w:tcPr>
            <w:tcW w:w="1975" w:type="dxa"/>
            <w:tcMar/>
            <w:vAlign w:val="center"/>
          </w:tcPr>
          <w:p w:rsidRPr="007C457C" w:rsidR="009B6128" w:rsidP="00C52FBD" w:rsidRDefault="001C3D60" w14:paraId="1FF0FE4B" wp14:textId="77777777">
            <w:pPr>
              <w:rPr>
                <w:rFonts w:ascii="Arial Narrow" w:hAnsi="Arial Narrow"/>
                <w:b/>
              </w:rPr>
            </w:pPr>
            <w:r w:rsidRPr="007C457C">
              <w:rPr>
                <w:rFonts w:ascii="Arial Narrow" w:hAnsi="Arial Narrow"/>
                <w:b/>
              </w:rPr>
              <w:t>Furnace</w:t>
            </w:r>
          </w:p>
        </w:tc>
        <w:tc>
          <w:tcPr>
            <w:tcW w:w="2345" w:type="dxa"/>
            <w:tcMar/>
            <w:vAlign w:val="center"/>
          </w:tcPr>
          <w:p w:rsidRPr="007C457C" w:rsidR="009B6128" w:rsidP="00FB56DE" w:rsidRDefault="00BE18A4" w14:paraId="549C94DE" wp14:textId="77777777">
            <w:pPr>
              <w:jc w:val="center"/>
              <w:rPr>
                <w:rFonts w:ascii="Arial Narrow" w:hAnsi="Arial Narrow"/>
              </w:rPr>
            </w:pPr>
            <w:r>
              <w:rPr>
                <w:rFonts w:ascii="Arial Narrow" w:hAnsi="Arial Narrow"/>
              </w:rPr>
              <w:t>Furnace with AFUE 95</w:t>
            </w:r>
          </w:p>
        </w:tc>
        <w:tc>
          <w:tcPr>
            <w:tcW w:w="5030" w:type="dxa"/>
            <w:tcMar/>
            <w:vAlign w:val="center"/>
          </w:tcPr>
          <w:p w:rsidRPr="007C457C" w:rsidR="009B6128" w:rsidP="00C52FBD" w:rsidRDefault="00CD38AC" w14:paraId="5D30BADE" wp14:textId="409898FA">
            <w:pPr>
              <w:rPr>
                <w:rFonts w:ascii="Arial Narrow" w:hAnsi="Arial Narrow"/>
              </w:rPr>
            </w:pPr>
            <w:r w:rsidRPr="62031055" w:rsidR="05173BCE">
              <w:rPr>
                <w:rFonts w:ascii="Arial Narrow" w:hAnsi="Arial Narrow"/>
              </w:rPr>
              <w:t xml:space="preserve">The </w:t>
            </w:r>
            <w:r w:rsidRPr="62031055" w:rsidR="05173BCE">
              <w:rPr>
                <w:rFonts w:ascii="Arial Narrow" w:hAnsi="Arial Narrow"/>
              </w:rPr>
              <w:t>minimum</w:t>
            </w:r>
            <w:r w:rsidRPr="62031055" w:rsidR="05173BCE">
              <w:rPr>
                <w:rFonts w:ascii="Arial Narrow" w:hAnsi="Arial Narrow"/>
              </w:rPr>
              <w:t xml:space="preserve"> furnace efficiency </w:t>
            </w:r>
            <w:r w:rsidRPr="62031055" w:rsidR="330454F9">
              <w:rPr>
                <w:rFonts w:ascii="Arial Narrow" w:hAnsi="Arial Narrow"/>
              </w:rPr>
              <w:t>begins</w:t>
            </w:r>
            <w:r w:rsidRPr="62031055" w:rsidR="05173BCE">
              <w:rPr>
                <w:rFonts w:ascii="Arial Narrow" w:hAnsi="Arial Narrow"/>
              </w:rPr>
              <w:t xml:space="preserve"> in 2028, and the highest </w:t>
            </w:r>
            <w:r w:rsidRPr="62031055" w:rsidR="3543475E">
              <w:rPr>
                <w:rFonts w:ascii="Arial Narrow" w:hAnsi="Arial Narrow"/>
              </w:rPr>
              <w:t>efficiency</w:t>
            </w:r>
            <w:r w:rsidRPr="62031055" w:rsidR="05173BCE">
              <w:rPr>
                <w:rFonts w:ascii="Arial Narrow" w:hAnsi="Arial Narrow"/>
              </w:rPr>
              <w:t xml:space="preserve"> is cost effective for this climate.</w:t>
            </w:r>
            <w:r w:rsidRPr="62031055" w:rsidR="00044E6C">
              <w:rPr>
                <w:rFonts w:ascii="Arial Narrow" w:hAnsi="Arial Narrow"/>
              </w:rPr>
              <w:t xml:space="preserve"> Its total life cycle cost was about $170 more than an AFUE 90 furnace. However, because this is a current dollar analysis, </w:t>
            </w:r>
            <w:r w:rsidRPr="62031055" w:rsidR="005D281E">
              <w:rPr>
                <w:rFonts w:ascii="Arial Narrow" w:hAnsi="Arial Narrow"/>
              </w:rPr>
              <w:t xml:space="preserve">realistically, </w:t>
            </w:r>
            <w:r w:rsidRPr="62031055" w:rsidR="00044E6C">
              <w:rPr>
                <w:rFonts w:ascii="Arial Narrow" w:hAnsi="Arial Narrow"/>
              </w:rPr>
              <w:t>any increase in the cost of energy will</w:t>
            </w:r>
            <w:r w:rsidRPr="62031055" w:rsidR="005D281E">
              <w:rPr>
                <w:rFonts w:ascii="Arial Narrow" w:hAnsi="Arial Narrow"/>
              </w:rPr>
              <w:t xml:space="preserve"> make the AFUE 95 the most cost effective.</w:t>
            </w:r>
            <w:r w:rsidRPr="62031055" w:rsidR="00044E6C">
              <w:rPr>
                <w:rFonts w:ascii="Arial Narrow" w:hAnsi="Arial Narrow"/>
              </w:rPr>
              <w:t xml:space="preserve">  </w:t>
            </w:r>
          </w:p>
        </w:tc>
      </w:tr>
      <w:tr xmlns:wp14="http://schemas.microsoft.com/office/word/2010/wordml" w:rsidR="009B6128" w:rsidTr="62031055" w14:paraId="10B7DA52" wp14:textId="77777777">
        <w:trPr>
          <w:cantSplit/>
        </w:trPr>
        <w:tc>
          <w:tcPr>
            <w:tcW w:w="1975" w:type="dxa"/>
            <w:tcMar/>
            <w:vAlign w:val="center"/>
          </w:tcPr>
          <w:p w:rsidRPr="007C457C" w:rsidR="009B6128" w:rsidP="00C52FBD" w:rsidRDefault="001C3D60" w14:paraId="59F8D599" wp14:textId="77777777">
            <w:pPr>
              <w:rPr>
                <w:rFonts w:ascii="Arial Narrow" w:hAnsi="Arial Narrow"/>
                <w:b/>
              </w:rPr>
            </w:pPr>
            <w:r w:rsidRPr="007C457C">
              <w:rPr>
                <w:rFonts w:ascii="Arial Narrow" w:hAnsi="Arial Narrow"/>
                <w:b/>
              </w:rPr>
              <w:t>Air conditioner</w:t>
            </w:r>
          </w:p>
        </w:tc>
        <w:tc>
          <w:tcPr>
            <w:tcW w:w="2345" w:type="dxa"/>
            <w:tcMar/>
            <w:vAlign w:val="center"/>
          </w:tcPr>
          <w:p w:rsidRPr="007C457C" w:rsidR="009B6128" w:rsidP="00FB56DE" w:rsidRDefault="009B6128" w14:paraId="4B94D5A5" wp14:textId="63365743">
            <w:pPr>
              <w:jc w:val="center"/>
              <w:rPr>
                <w:rFonts w:ascii="Arial Narrow" w:hAnsi="Arial Narrow"/>
              </w:rPr>
            </w:pPr>
            <w:r w:rsidRPr="62031055" w:rsidR="1154D475">
              <w:rPr>
                <w:rFonts w:ascii="Arial Narrow" w:hAnsi="Arial Narrow"/>
              </w:rPr>
              <w:t>EnergyStar SEER2 16.0</w:t>
            </w:r>
          </w:p>
        </w:tc>
        <w:tc>
          <w:tcPr>
            <w:tcW w:w="5030" w:type="dxa"/>
            <w:tcMar/>
            <w:vAlign w:val="center"/>
          </w:tcPr>
          <w:p w:rsidRPr="007C457C" w:rsidR="009B6128" w:rsidP="00C52FBD" w:rsidRDefault="009B6128" w14:paraId="3DEEC669" wp14:textId="60BEEB91">
            <w:pPr>
              <w:rPr>
                <w:rFonts w:ascii="Arial Narrow" w:hAnsi="Arial Narrow"/>
              </w:rPr>
            </w:pPr>
            <w:r w:rsidRPr="62031055" w:rsidR="1C60AB1B">
              <w:rPr>
                <w:rFonts w:ascii="Arial Narrow" w:hAnsi="Arial Narrow"/>
              </w:rPr>
              <w:t>We recommend the EnergyStar SEER2 16.0 as it has a lower upfront cost but is still eligible for a tax rebate</w:t>
            </w:r>
            <w:r w:rsidRPr="62031055" w:rsidR="11D77601">
              <w:rPr>
                <w:rFonts w:ascii="Arial Narrow" w:hAnsi="Arial Narrow"/>
              </w:rPr>
              <w:t xml:space="preserve"> of $600 while also cheaper energy costs than the 14.2 but more than the 18.0. The LCC of the SEER2 16.0 </w:t>
            </w:r>
            <w:r w:rsidRPr="62031055" w:rsidR="4F4B8CE4">
              <w:rPr>
                <w:rFonts w:ascii="Arial Narrow" w:hAnsi="Arial Narrow"/>
              </w:rPr>
              <w:t>is $134 cheaper than the SEER 14.2 and $1600 cheaper than the SEER2 18.0</w:t>
            </w:r>
          </w:p>
        </w:tc>
      </w:tr>
      <w:tr xmlns:wp14="http://schemas.microsoft.com/office/word/2010/wordml" w:rsidR="009B6128" w:rsidTr="62031055" w14:paraId="70BAD736" wp14:textId="77777777">
        <w:trPr>
          <w:cantSplit/>
        </w:trPr>
        <w:tc>
          <w:tcPr>
            <w:tcW w:w="1975" w:type="dxa"/>
            <w:tcMar/>
            <w:vAlign w:val="center"/>
          </w:tcPr>
          <w:p w:rsidRPr="007C457C" w:rsidR="009B6128" w:rsidP="00C52FBD" w:rsidRDefault="001C3D60" w14:paraId="2EB060CE" wp14:textId="77777777">
            <w:pPr>
              <w:rPr>
                <w:rFonts w:ascii="Arial Narrow" w:hAnsi="Arial Narrow"/>
                <w:b/>
              </w:rPr>
            </w:pPr>
            <w:r w:rsidRPr="007C457C">
              <w:rPr>
                <w:rFonts w:ascii="Arial Narrow" w:hAnsi="Arial Narrow"/>
                <w:b/>
              </w:rPr>
              <w:t>Heat pump</w:t>
            </w:r>
          </w:p>
        </w:tc>
        <w:tc>
          <w:tcPr>
            <w:tcW w:w="2345" w:type="dxa"/>
            <w:tcMar/>
            <w:vAlign w:val="center"/>
          </w:tcPr>
          <w:p w:rsidRPr="007C457C" w:rsidR="009B6128" w:rsidP="00FB56DE" w:rsidRDefault="009B6128" w14:paraId="3656B9AB" wp14:textId="77F22F4D">
            <w:pPr>
              <w:jc w:val="center"/>
              <w:rPr>
                <w:rFonts w:ascii="Arial Narrow" w:hAnsi="Arial Narrow"/>
              </w:rPr>
            </w:pPr>
            <w:r w:rsidRPr="62031055" w:rsidR="08541E0E">
              <w:rPr>
                <w:rFonts w:ascii="Arial Narrow" w:hAnsi="Arial Narrow"/>
              </w:rPr>
              <w:t xml:space="preserve">RHEEM RP18AZ </w:t>
            </w:r>
          </w:p>
        </w:tc>
        <w:tc>
          <w:tcPr>
            <w:tcW w:w="5030" w:type="dxa"/>
            <w:tcMar/>
            <w:vAlign w:val="center"/>
          </w:tcPr>
          <w:p w:rsidRPr="007C457C" w:rsidR="009B6128" w:rsidP="00C52FBD" w:rsidRDefault="009B6128" w14:paraId="45FB0818" wp14:textId="7A5C2F1C">
            <w:pPr>
              <w:rPr>
                <w:rFonts w:ascii="Arial Narrow" w:hAnsi="Arial Narrow"/>
              </w:rPr>
            </w:pPr>
            <w:r w:rsidRPr="62031055" w:rsidR="08541E0E">
              <w:rPr>
                <w:rFonts w:ascii="Arial Narrow" w:hAnsi="Arial Narrow"/>
              </w:rPr>
              <w:t xml:space="preserve">The RHEEM RP18AZ would replace the furnace and air conditioner, </w:t>
            </w:r>
            <w:r w:rsidRPr="62031055" w:rsidR="1A268E1E">
              <w:rPr>
                <w:rFonts w:ascii="Arial Narrow" w:hAnsi="Arial Narrow"/>
              </w:rPr>
              <w:t>it has a LCC of $26,913</w:t>
            </w:r>
            <w:r w:rsidRPr="62031055" w:rsidR="0B8C9104">
              <w:rPr>
                <w:rFonts w:ascii="Arial Narrow" w:hAnsi="Arial Narrow"/>
              </w:rPr>
              <w:t>.</w:t>
            </w:r>
          </w:p>
        </w:tc>
      </w:tr>
      <w:tr xmlns:wp14="http://schemas.microsoft.com/office/word/2010/wordml" w:rsidR="009B6128" w:rsidTr="62031055" w14:paraId="7166250D" wp14:textId="77777777">
        <w:trPr>
          <w:cantSplit/>
        </w:trPr>
        <w:tc>
          <w:tcPr>
            <w:tcW w:w="1975" w:type="dxa"/>
            <w:tcMar/>
            <w:vAlign w:val="center"/>
          </w:tcPr>
          <w:p w:rsidRPr="007C457C" w:rsidR="009B6128" w:rsidP="00C52FBD" w:rsidRDefault="001C3D60" w14:paraId="4F2ACEA4" wp14:textId="77777777">
            <w:pPr>
              <w:rPr>
                <w:rFonts w:ascii="Arial Narrow" w:hAnsi="Arial Narrow"/>
                <w:b/>
              </w:rPr>
            </w:pPr>
            <w:r w:rsidRPr="007C457C">
              <w:rPr>
                <w:rFonts w:ascii="Arial Narrow" w:hAnsi="Arial Narrow"/>
                <w:b/>
              </w:rPr>
              <w:t>Attic insulation</w:t>
            </w:r>
          </w:p>
        </w:tc>
        <w:tc>
          <w:tcPr>
            <w:tcW w:w="2345" w:type="dxa"/>
            <w:tcMar/>
            <w:vAlign w:val="center"/>
          </w:tcPr>
          <w:p w:rsidRPr="007C457C" w:rsidR="009B6128" w:rsidP="00FB56DE" w:rsidRDefault="00BE18A4" w14:paraId="769265B0" wp14:textId="77777777">
            <w:pPr>
              <w:jc w:val="center"/>
              <w:rPr>
                <w:rFonts w:ascii="Arial Narrow" w:hAnsi="Arial Narrow"/>
              </w:rPr>
            </w:pPr>
            <w:r>
              <w:rPr>
                <w:rFonts w:ascii="Arial Narrow" w:hAnsi="Arial Narrow"/>
              </w:rPr>
              <w:t>Add R</w:t>
            </w:r>
            <w:r w:rsidR="00A53ADC">
              <w:rPr>
                <w:rFonts w:ascii="Arial Narrow" w:hAnsi="Arial Narrow"/>
              </w:rPr>
              <w:t xml:space="preserve">38 </w:t>
            </w:r>
            <w:r w:rsidR="00247EA9">
              <w:rPr>
                <w:rFonts w:ascii="Arial Narrow" w:hAnsi="Arial Narrow"/>
              </w:rPr>
              <w:t>batt insulation</w:t>
            </w:r>
          </w:p>
        </w:tc>
        <w:tc>
          <w:tcPr>
            <w:tcW w:w="5030" w:type="dxa"/>
            <w:tcMar/>
            <w:vAlign w:val="center"/>
          </w:tcPr>
          <w:p w:rsidRPr="007C457C" w:rsidR="009B6128" w:rsidP="00C52FBD" w:rsidRDefault="00247EA9" w14:paraId="0B7E6610" wp14:textId="77777777">
            <w:pPr>
              <w:rPr>
                <w:rFonts w:ascii="Arial Narrow" w:hAnsi="Arial Narrow"/>
              </w:rPr>
            </w:pPr>
            <w:r>
              <w:rPr>
                <w:rFonts w:ascii="Arial Narrow" w:hAnsi="Arial Narrow"/>
              </w:rPr>
              <w:t>Meets current Virginia Energy Code recommendations.</w:t>
            </w:r>
          </w:p>
        </w:tc>
      </w:tr>
      <w:tr xmlns:wp14="http://schemas.microsoft.com/office/word/2010/wordml" w:rsidR="009B6128" w:rsidTr="62031055" w14:paraId="407B4FFB" wp14:textId="77777777">
        <w:trPr>
          <w:cantSplit/>
        </w:trPr>
        <w:tc>
          <w:tcPr>
            <w:tcW w:w="1975" w:type="dxa"/>
            <w:tcMar/>
            <w:vAlign w:val="center"/>
          </w:tcPr>
          <w:p w:rsidRPr="007C457C" w:rsidR="009B6128" w:rsidP="00C52FBD" w:rsidRDefault="001C3D60" w14:paraId="224AD4C0" wp14:textId="77777777">
            <w:pPr>
              <w:rPr>
                <w:rFonts w:ascii="Arial Narrow" w:hAnsi="Arial Narrow"/>
                <w:b/>
              </w:rPr>
            </w:pPr>
            <w:r w:rsidRPr="007C457C">
              <w:rPr>
                <w:rFonts w:ascii="Arial Narrow" w:hAnsi="Arial Narrow"/>
                <w:b/>
              </w:rPr>
              <w:t>Hot water heater</w:t>
            </w:r>
          </w:p>
        </w:tc>
        <w:tc>
          <w:tcPr>
            <w:tcW w:w="2345" w:type="dxa"/>
            <w:tcMar/>
            <w:vAlign w:val="center"/>
          </w:tcPr>
          <w:p w:rsidRPr="007C457C" w:rsidR="009B6128" w:rsidP="62031055" w:rsidRDefault="009B6128" w14:paraId="049F31CB" wp14:textId="44B8A92D">
            <w:pPr>
              <w:pStyle w:val="Normal"/>
              <w:suppressLineNumbers w:val="0"/>
              <w:bidi w:val="0"/>
              <w:spacing w:before="0" w:beforeAutospacing="off" w:after="0" w:afterAutospacing="off" w:line="240" w:lineRule="auto"/>
              <w:ind w:left="0" w:right="0"/>
              <w:jc w:val="center"/>
            </w:pPr>
            <w:r w:rsidRPr="62031055" w:rsidR="6A4B1391">
              <w:rPr>
                <w:rFonts w:ascii="Arial Narrow" w:hAnsi="Arial Narrow"/>
              </w:rPr>
              <w:t>50 Gallon Heat-Pump</w:t>
            </w:r>
          </w:p>
        </w:tc>
        <w:tc>
          <w:tcPr>
            <w:tcW w:w="5030" w:type="dxa"/>
            <w:tcMar/>
            <w:vAlign w:val="center"/>
          </w:tcPr>
          <w:p w:rsidRPr="007C457C" w:rsidR="009B6128" w:rsidP="00C52FBD" w:rsidRDefault="009B6128" w14:paraId="53128261" wp14:textId="3EC026BE">
            <w:pPr>
              <w:rPr>
                <w:rFonts w:ascii="Arial Narrow" w:hAnsi="Arial Narrow"/>
              </w:rPr>
            </w:pPr>
            <w:r w:rsidRPr="62031055" w:rsidR="6A4B1391">
              <w:rPr>
                <w:rFonts w:ascii="Arial Narrow" w:hAnsi="Arial Narrow"/>
              </w:rPr>
              <w:t xml:space="preserve">We </w:t>
            </w:r>
            <w:r w:rsidRPr="62031055" w:rsidR="2B982B75">
              <w:rPr>
                <w:rFonts w:ascii="Arial Narrow" w:hAnsi="Arial Narrow"/>
              </w:rPr>
              <w:t>recommend</w:t>
            </w:r>
            <w:r w:rsidRPr="62031055" w:rsidR="6A4B1391">
              <w:rPr>
                <w:rFonts w:ascii="Arial Narrow" w:hAnsi="Arial Narrow"/>
              </w:rPr>
              <w:t xml:space="preserve"> the </w:t>
            </w:r>
            <w:r w:rsidRPr="62031055" w:rsidR="7EFE213E">
              <w:rPr>
                <w:rFonts w:ascii="Arial Narrow" w:hAnsi="Arial Narrow"/>
              </w:rPr>
              <w:t>50-gallon</w:t>
            </w:r>
            <w:r w:rsidRPr="62031055" w:rsidR="6A4B1391">
              <w:rPr>
                <w:rFonts w:ascii="Arial Narrow" w:hAnsi="Arial Narrow"/>
              </w:rPr>
              <w:t xml:space="preserve"> heat pump, while a much higher upfront cost than the water tank the energy saving,</w:t>
            </w:r>
            <w:r w:rsidRPr="62031055" w:rsidR="5FBA5141">
              <w:rPr>
                <w:rFonts w:ascii="Arial Narrow" w:hAnsi="Arial Narrow"/>
              </w:rPr>
              <w:t xml:space="preserve"> which will only increase as time goes on and energy prices increase.</w:t>
            </w:r>
          </w:p>
        </w:tc>
      </w:tr>
      <w:tr xmlns:wp14="http://schemas.microsoft.com/office/word/2010/wordml" w:rsidR="009B6128" w:rsidTr="62031055" w14:paraId="7A3D36E4" wp14:textId="77777777">
        <w:trPr>
          <w:cantSplit/>
        </w:trPr>
        <w:tc>
          <w:tcPr>
            <w:tcW w:w="1975" w:type="dxa"/>
            <w:tcMar/>
            <w:vAlign w:val="center"/>
          </w:tcPr>
          <w:p w:rsidRPr="007C457C" w:rsidR="009B6128" w:rsidP="00C52FBD" w:rsidRDefault="001C3D60" w14:paraId="16F187D7" wp14:textId="77777777">
            <w:pPr>
              <w:rPr>
                <w:rFonts w:ascii="Arial Narrow" w:hAnsi="Arial Narrow"/>
                <w:b/>
              </w:rPr>
            </w:pPr>
            <w:r w:rsidRPr="007C457C">
              <w:rPr>
                <w:rFonts w:ascii="Arial Narrow" w:hAnsi="Arial Narrow"/>
                <w:b/>
              </w:rPr>
              <w:t>Solar PV system</w:t>
            </w:r>
          </w:p>
        </w:tc>
        <w:tc>
          <w:tcPr>
            <w:tcW w:w="2345" w:type="dxa"/>
            <w:tcMar/>
            <w:vAlign w:val="center"/>
          </w:tcPr>
          <w:p w:rsidRPr="007C457C" w:rsidR="009B6128" w:rsidP="00FB56DE" w:rsidRDefault="009B6128" w14:paraId="62486C05" wp14:textId="23CBE860">
            <w:pPr>
              <w:jc w:val="center"/>
              <w:rPr>
                <w:rFonts w:ascii="Arial Narrow" w:hAnsi="Arial Narrow"/>
              </w:rPr>
            </w:pPr>
            <w:r w:rsidRPr="62031055" w:rsidR="15D7AC1F">
              <w:rPr>
                <w:rFonts w:ascii="Arial Narrow" w:hAnsi="Arial Narrow"/>
              </w:rPr>
              <w:t>5250-Watt PV</w:t>
            </w:r>
            <w:r w:rsidRPr="62031055" w:rsidR="15D7AC1F">
              <w:rPr>
                <w:rFonts w:ascii="Arial Narrow" w:hAnsi="Arial Narrow"/>
              </w:rPr>
              <w:t xml:space="preserve"> System</w:t>
            </w:r>
          </w:p>
        </w:tc>
        <w:tc>
          <w:tcPr>
            <w:tcW w:w="5030" w:type="dxa"/>
            <w:tcMar/>
            <w:vAlign w:val="center"/>
          </w:tcPr>
          <w:p w:rsidRPr="007C457C" w:rsidR="009B6128" w:rsidP="00C52FBD" w:rsidRDefault="00F6750B" w14:paraId="3F9D05F0" wp14:textId="77777777">
            <w:pPr>
              <w:rPr>
                <w:rFonts w:ascii="Arial Narrow" w:hAnsi="Arial Narrow"/>
              </w:rPr>
            </w:pPr>
            <w:r>
              <w:rPr>
                <w:rFonts w:ascii="Arial Narrow" w:hAnsi="Arial Narrow"/>
              </w:rPr>
              <w:t>The size required to achieve net-zero emissions for the current level of electricity consumption in the home (8,300 kWh per year).</w:t>
            </w:r>
          </w:p>
        </w:tc>
      </w:tr>
    </w:tbl>
    <w:p xmlns:wp14="http://schemas.microsoft.com/office/word/2010/wordml" w:rsidR="009D4515" w:rsidP="00540535" w:rsidRDefault="009D4515" w14:paraId="4101652C" wp14:textId="77777777"/>
    <w:p xmlns:wp14="http://schemas.microsoft.com/office/word/2010/wordml" w:rsidRPr="00D21FF8" w:rsidR="00770075" w:rsidP="00770075" w:rsidRDefault="00770075" w14:paraId="4B99056E" wp14:textId="77777777"/>
    <w:p xmlns:wp14="http://schemas.microsoft.com/office/word/2010/wordml" w:rsidR="00C6357B" w:rsidRDefault="00C6357B" w14:paraId="1299C43A" wp14:textId="77777777">
      <w:pPr>
        <w:spacing w:after="160" w:line="259" w:lineRule="auto"/>
        <w:rPr>
          <w:rFonts w:asciiTheme="majorHAnsi" w:hAnsiTheme="majorHAnsi" w:eastAsiaTheme="majorEastAsia" w:cstheme="majorBidi"/>
          <w:sz w:val="36"/>
          <w:szCs w:val="32"/>
        </w:rPr>
      </w:pPr>
      <w:r>
        <w:br w:type="page"/>
      </w:r>
    </w:p>
    <w:p xmlns:wp14="http://schemas.microsoft.com/office/word/2010/wordml" w:rsidR="00ED59A7" w:rsidP="00ED59A7" w:rsidRDefault="00F6750B" w14:paraId="5A8B8221" wp14:textId="77777777">
      <w:pPr>
        <w:pStyle w:val="Heading1"/>
        <w:spacing w:after="0"/>
      </w:pPr>
      <w:r>
        <w:t>Investment Option</w:t>
      </w:r>
      <w:r w:rsidR="00ED59A7">
        <w:t>s:</w:t>
      </w:r>
      <w:r>
        <w:t xml:space="preserve"> </w:t>
      </w:r>
    </w:p>
    <w:p xmlns:wp14="http://schemas.microsoft.com/office/word/2010/wordml" w:rsidR="00F6750B" w:rsidP="00F6750B" w:rsidRDefault="00ED59A7" w14:paraId="7FD1A633" wp14:textId="77777777">
      <w:pPr>
        <w:pStyle w:val="Heading1"/>
      </w:pPr>
      <w:r>
        <w:t xml:space="preserve">Purchase </w:t>
      </w:r>
      <w:r w:rsidR="00F6750B">
        <w:t>Costs and Immediate</w:t>
      </w:r>
      <w:r w:rsidR="00F6750B">
        <w:t xml:space="preserve"> </w:t>
      </w:r>
      <w:r w:rsidR="00F6750B">
        <w:t>Annual Savings</w:t>
      </w:r>
    </w:p>
    <w:p xmlns:wp14="http://schemas.microsoft.com/office/word/2010/wordml" w:rsidR="00F6750B" w:rsidP="00F6750B" w:rsidRDefault="00F6750B" w14:paraId="4DDBEF00" wp14:textId="77777777"/>
    <w:p xmlns:wp14="http://schemas.microsoft.com/office/word/2010/wordml" w:rsidR="00EA1A96" w:rsidP="62031055" w:rsidRDefault="00EA1A96" w14:paraId="5247C8BD" wp14:textId="3CDEAC50">
      <w:pPr>
        <w:rPr>
          <w:highlight w:val="yellow"/>
        </w:rPr>
      </w:pPr>
      <w:r w:rsidR="00EA1A96">
        <w:rPr/>
        <w:t>The</w:t>
      </w:r>
      <w:r w:rsidR="00ED59A7">
        <w:rPr/>
        <w:t xml:space="preserve"> investment budget of $20,000 needs to be </w:t>
      </w:r>
      <w:r w:rsidR="00ED59A7">
        <w:rPr/>
        <w:t>optimized</w:t>
      </w:r>
      <w:r w:rsidR="00ED59A7">
        <w:rPr/>
        <w:t xml:space="preserve"> </w:t>
      </w:r>
      <w:r w:rsidR="00EA1A96">
        <w:rPr/>
        <w:t xml:space="preserve">among the seven major options </w:t>
      </w:r>
      <w:r w:rsidR="00ED59A7">
        <w:rPr/>
        <w:t>for</w:t>
      </w:r>
      <w:r w:rsidR="00EA1A96">
        <w:rPr/>
        <w:t xml:space="preserve"> affordability, long term</w:t>
      </w:r>
      <w:r w:rsidR="00ED59A7">
        <w:rPr/>
        <w:t xml:space="preserve"> energy savings</w:t>
      </w:r>
      <w:r w:rsidR="004505F9">
        <w:rPr/>
        <w:t>,</w:t>
      </w:r>
      <w:r w:rsidR="00EA1A96">
        <w:rPr/>
        <w:t xml:space="preserve"> and</w:t>
      </w:r>
      <w:r w:rsidR="00ED59A7">
        <w:rPr/>
        <w:t xml:space="preserve"> home comfort</w:t>
      </w:r>
      <w:r w:rsidR="00EA1A96">
        <w:rPr/>
        <w:t xml:space="preserve">. The age of the Honda Civic and some of the energy equipment also </w:t>
      </w:r>
      <w:r w:rsidR="00EA1A96">
        <w:rPr/>
        <w:t>indicate</w:t>
      </w:r>
      <w:r w:rsidR="00EA1A96">
        <w:rPr/>
        <w:t xml:space="preserve"> that these systems will need to be replaced within the next few years. Table 2 provides key information about each energy investment </w:t>
      </w:r>
      <w:r w:rsidR="00EA1A96">
        <w:rPr/>
        <w:t>option</w:t>
      </w:r>
      <w:r w:rsidR="00EA1A96">
        <w:rPr/>
        <w:t xml:space="preserve">, including the age of the existing equipment and estimates about its remaining life. Table 2 also shows the net purchase and installation costs for each of the recommended equipment choices shown in Table 1, as well as the net annual cost savings that they create compared to the current equipment. This will allow you to evaluate </w:t>
      </w:r>
      <w:r w:rsidR="004505F9">
        <w:rPr/>
        <w:t xml:space="preserve">(a) </w:t>
      </w:r>
      <w:r w:rsidR="00EA1A96">
        <w:rPr/>
        <w:t xml:space="preserve">what combinations of options can be </w:t>
      </w:r>
      <w:r w:rsidR="00EA1A96">
        <w:rPr/>
        <w:t>purchased</w:t>
      </w:r>
      <w:r w:rsidR="00EA1A96">
        <w:rPr/>
        <w:t xml:space="preserve"> with the available $20,000, </w:t>
      </w:r>
      <w:r w:rsidR="004505F9">
        <w:rPr/>
        <w:t>(b) which</w:t>
      </w:r>
      <w:r w:rsidR="00EA1A96">
        <w:rPr/>
        <w:t xml:space="preserve"> </w:t>
      </w:r>
      <w:r w:rsidR="004505F9">
        <w:rPr/>
        <w:t>options might be higher priorities, and (c) the value of annual savings that are created that can be set aside for future needs.</w:t>
      </w:r>
    </w:p>
    <w:p xmlns:wp14="http://schemas.microsoft.com/office/word/2010/wordml" w:rsidR="004505F9" w:rsidP="00F6750B" w:rsidRDefault="004505F9" w14:paraId="3461D779" wp14:textId="77777777"/>
    <w:p xmlns:wp14="http://schemas.microsoft.com/office/word/2010/wordml" w:rsidR="004419D5" w:rsidP="00F6750B" w:rsidRDefault="004419D5" w14:paraId="3CF2D8B6" wp14:textId="77777777" wp14:noSpellErr="1"/>
    <w:p xmlns:wp14="http://schemas.microsoft.com/office/word/2010/wordml" w:rsidR="00EA1A96" w:rsidP="00F6750B" w:rsidRDefault="00EA1A96" w14:paraId="6F774976" wp14:textId="30EBEC51"/>
    <w:p xmlns:wp14="http://schemas.microsoft.com/office/word/2010/wordml" w:rsidR="00EA1A96" w:rsidP="00F6750B" w:rsidRDefault="00EA1A96" w14:paraId="0FB78278" wp14:textId="0F50E4AA">
      <w:r w:rsidR="106CF016">
        <w:rPr/>
        <w:t>The topic of EV’s was a big part of this report for the family, the Nissan Leaf S (2022) had the best savings from the other two options, however</w:t>
      </w:r>
      <w:r w:rsidR="3D9EBCA4">
        <w:rPr/>
        <w:t xml:space="preserve"> there were many factors that were </w:t>
      </w:r>
      <w:r w:rsidR="3BFD11BC">
        <w:rPr/>
        <w:t>a part</w:t>
      </w:r>
      <w:r w:rsidR="3D9EBCA4">
        <w:rPr/>
        <w:t xml:space="preserve"> of this. For one it could be the primary or secondary car, if it is the primary the savings are a lot less only about $5,000 cheaper than the Tesla but while it is the secondary car it saves about $13,000 because the Leaf wo</w:t>
      </w:r>
      <w:r w:rsidR="07BAEA41">
        <w:rPr/>
        <w:t xml:space="preserve">n’t need 2 battery replacements compared to driving </w:t>
      </w:r>
      <w:r w:rsidR="07BAEA41">
        <w:rPr/>
        <w:t>18,000 miles</w:t>
      </w:r>
      <w:r w:rsidR="07BAEA41">
        <w:rPr/>
        <w:t xml:space="preserve"> annually. Another factor in the EV’s is the cost of insurance, </w:t>
      </w:r>
      <w:r w:rsidR="43BE3EC7">
        <w:rPr/>
        <w:t>Tesla</w:t>
      </w:r>
      <w:r w:rsidR="07BAEA41">
        <w:rPr/>
        <w:t xml:space="preserve"> has </w:t>
      </w:r>
      <w:r w:rsidR="07BAEA41">
        <w:rPr/>
        <w:t>a very high</w:t>
      </w:r>
      <w:r w:rsidR="07BAEA41">
        <w:rPr/>
        <w:t xml:space="preserve"> annual insurance rate which adds up, but if they could find new insurance or lower theirs it would save them </w:t>
      </w:r>
      <w:r w:rsidR="100878F4">
        <w:rPr/>
        <w:t>consistently,</w:t>
      </w:r>
      <w:r w:rsidR="269756CC">
        <w:rPr/>
        <w:t xml:space="preserve"> especially if driving 18,000 annually.</w:t>
      </w:r>
      <w:r w:rsidR="100878F4">
        <w:rPr/>
        <w:t xml:space="preserve"> as well as </w:t>
      </w:r>
      <w:r w:rsidR="5E11E919">
        <w:rPr/>
        <w:t>Tesla</w:t>
      </w:r>
      <w:r w:rsidR="100878F4">
        <w:rPr/>
        <w:t xml:space="preserve"> being the most energy efficient </w:t>
      </w:r>
      <w:r w:rsidR="100878F4">
        <w:rPr/>
        <w:t>option</w:t>
      </w:r>
      <w:r w:rsidR="3860228D">
        <w:rPr/>
        <w:t>.</w:t>
      </w:r>
    </w:p>
    <w:p xmlns:wp14="http://schemas.microsoft.com/office/word/2010/wordml" w:rsidR="00ED59A7" w:rsidP="00F6750B" w:rsidRDefault="00EA1A96" w14:paraId="349232B8" wp14:textId="5667B0F7"/>
    <w:p xmlns:wp14="http://schemas.microsoft.com/office/word/2010/wordml" w:rsidR="00ED59A7" w:rsidP="00F6750B" w:rsidRDefault="00EA1A96" w14:paraId="4CC822CB" wp14:textId="6A9499D2">
      <w:r w:rsidR="77A3AAAC">
        <w:rPr/>
        <w:t xml:space="preserve">The Smith and Jones family only has $20,000 to spend, many of the </w:t>
      </w:r>
      <w:r w:rsidR="02ED7B41">
        <w:rPr/>
        <w:t>options</w:t>
      </w:r>
      <w:r w:rsidR="77A3AAAC">
        <w:rPr/>
        <w:t xml:space="preserve"> listed could be bundled together. </w:t>
      </w:r>
      <w:r w:rsidR="63EAD22C">
        <w:rPr/>
        <w:t xml:space="preserve">The best scenario here would be to replace the Furnace and Air Conditioner </w:t>
      </w:r>
      <w:r w:rsidR="30FBE6C0">
        <w:rPr/>
        <w:t>units;</w:t>
      </w:r>
      <w:r w:rsidR="63EAD22C">
        <w:rPr/>
        <w:t xml:space="preserve"> both are aging systems that will need major repairs and only last another 5-8 years additionally. The heat pump </w:t>
      </w:r>
      <w:r w:rsidR="02B4967B">
        <w:rPr/>
        <w:t xml:space="preserve">could also just replace </w:t>
      </w:r>
      <w:r w:rsidR="63FE2994">
        <w:rPr/>
        <w:t>both</w:t>
      </w:r>
      <w:r w:rsidR="02B4967B">
        <w:rPr/>
        <w:t xml:space="preserve"> options instead of bundling them, as the energy savings are </w:t>
      </w:r>
      <w:r w:rsidR="25515D1E">
        <w:rPr/>
        <w:t>slightly</w:t>
      </w:r>
      <w:r w:rsidR="02B4967B">
        <w:rPr/>
        <w:t xml:space="preserve"> more annually, but it is also a much higher upfront cost instead of say buying the </w:t>
      </w:r>
      <w:r w:rsidR="0A94A423">
        <w:rPr/>
        <w:t>furnace</w:t>
      </w:r>
      <w:r w:rsidR="02B4967B">
        <w:rPr/>
        <w:t xml:space="preserve"> now and waiting a few years until it is needed to buy the air conditioner.</w:t>
      </w:r>
      <w:r w:rsidR="57B5418C">
        <w:rPr/>
        <w:t xml:space="preserve"> In time this could be bundled with the Insulation as a more efficient furnace will add to the savings provided by insulation and provide high annual cost savings.</w:t>
      </w:r>
      <w:r w:rsidR="69D6EFF2">
        <w:rPr/>
        <w:t xml:space="preserve"> The PV System is not a </w:t>
      </w:r>
      <w:r w:rsidR="69D6EFF2">
        <w:rPr/>
        <w:t>likely choice</w:t>
      </w:r>
      <w:r w:rsidR="69D6EFF2">
        <w:rPr/>
        <w:t xml:space="preserve"> as it </w:t>
      </w:r>
      <w:r w:rsidR="69D6EFF2">
        <w:rPr/>
        <w:t>is</w:t>
      </w:r>
      <w:r w:rsidR="69D6EFF2">
        <w:rPr/>
        <w:t xml:space="preserve"> </w:t>
      </w:r>
      <w:r w:rsidR="69D6EFF2">
        <w:rPr/>
        <w:t>a very high</w:t>
      </w:r>
      <w:r w:rsidR="69D6EFF2">
        <w:rPr/>
        <w:t xml:space="preserve"> upfront cost, does not replace anything, and is only used for electricity so the implementation of this strategy is unrealistic.</w:t>
      </w:r>
    </w:p>
    <w:p xmlns:wp14="http://schemas.microsoft.com/office/word/2010/wordml" w:rsidR="00ED59A7" w:rsidP="00F6750B" w:rsidRDefault="00EA1A96" w14:paraId="59240652" wp14:textId="3CD432AE"/>
    <w:p xmlns:wp14="http://schemas.microsoft.com/office/word/2010/wordml" w:rsidR="00ED59A7" w:rsidP="00F6750B" w:rsidRDefault="00EA1A96" w14:paraId="6A773B2C" wp14:textId="6B05D134">
      <w:r w:rsidR="62461A8C">
        <w:rPr/>
        <w:t xml:space="preserve">Other combinations could be </w:t>
      </w:r>
      <w:r w:rsidR="62461A8C">
        <w:rPr/>
        <w:t>purchasing</w:t>
      </w:r>
      <w:r w:rsidR="62461A8C">
        <w:rPr/>
        <w:t xml:space="preserve"> the EV and then using some of those savings as they come to replace technologies as they get to the end of their life. For example, the Nissan Leaf S could be bought and then used as the secondary car going </w:t>
      </w:r>
      <w:r w:rsidR="62461A8C">
        <w:rPr/>
        <w:t>8,000 miles</w:t>
      </w:r>
      <w:r w:rsidR="62461A8C">
        <w:rPr/>
        <w:t xml:space="preserve"> for it is not running up t</w:t>
      </w:r>
      <w:r w:rsidR="0AC61538">
        <w:rPr/>
        <w:t>he battery, but then as the annual cost savings come in they can use the money to replace the furnace once it reaches the end of its life cycle and do the s</w:t>
      </w:r>
      <w:r w:rsidR="5FFDA9EE">
        <w:rPr/>
        <w:t>ame for the air conditioner once it gets there.</w:t>
      </w:r>
    </w:p>
    <w:p xmlns:wp14="http://schemas.microsoft.com/office/word/2010/wordml" w:rsidR="00ED59A7" w:rsidP="62031055" w:rsidRDefault="00EA1A96" w14:paraId="0DFAE634" wp14:textId="280EB678">
      <w:pPr>
        <w:pStyle w:val="Normal"/>
      </w:pPr>
      <w:r w:rsidR="00EA1A96">
        <w:rPr/>
        <w:t xml:space="preserve">  </w:t>
      </w:r>
    </w:p>
    <w:p xmlns:wp14="http://schemas.microsoft.com/office/word/2010/wordml" w:rsidR="00ED59A7" w:rsidP="00F6750B" w:rsidRDefault="00ED59A7" w14:paraId="62EBF3C5" wp14:textId="77777777"/>
    <w:p xmlns:wp14="http://schemas.microsoft.com/office/word/2010/wordml" w:rsidR="00ED59A7" w:rsidP="00F6750B" w:rsidRDefault="00ED59A7" w14:paraId="6D98A12B" wp14:textId="77777777"/>
    <w:p xmlns:wp14="http://schemas.microsoft.com/office/word/2010/wordml" w:rsidR="00ED59A7" w:rsidP="00F6750B" w:rsidRDefault="00ED59A7" w14:paraId="2946DB82" wp14:textId="77777777"/>
    <w:p xmlns:wp14="http://schemas.microsoft.com/office/word/2010/wordml" w:rsidR="00F6750B" w:rsidP="00F6750B" w:rsidRDefault="00F6750B" w14:paraId="5997CC1D" wp14:textId="77777777">
      <w:pPr>
        <w:sectPr w:rsidR="00F6750B" w:rsidSect="00B068BD">
          <w:headerReference w:type="default" r:id="rId9"/>
          <w:pgSz w:w="12240" w:h="15840" w:orient="portrait"/>
          <w:pgMar w:top="1440" w:right="1440" w:bottom="1440" w:left="1440" w:header="720" w:footer="720" w:gutter="0"/>
          <w:cols w:space="720"/>
          <w:titlePg/>
          <w:docGrid w:linePitch="360"/>
        </w:sectPr>
      </w:pPr>
    </w:p>
    <w:p xmlns:wp14="http://schemas.microsoft.com/office/word/2010/wordml" w:rsidRPr="00F6750B" w:rsidR="00F6750B" w:rsidP="00F6750B" w:rsidRDefault="00F6750B" w14:paraId="110FFD37" wp14:textId="77777777"/>
    <w:tbl>
      <w:tblPr>
        <w:tblStyle w:val="TableGrid"/>
        <w:tblpPr w:leftFromText="180" w:rightFromText="180" w:vertAnchor="text" w:horzAnchor="margin" w:tblpY="66"/>
        <w:tblW w:w="12960" w:type="dxa"/>
        <w:tblLook w:val="04A0" w:firstRow="1" w:lastRow="0" w:firstColumn="1" w:lastColumn="0" w:noHBand="0" w:noVBand="1"/>
      </w:tblPr>
      <w:tblGrid>
        <w:gridCol w:w="2014"/>
        <w:gridCol w:w="1586"/>
        <w:gridCol w:w="2700"/>
        <w:gridCol w:w="2220"/>
        <w:gridCol w:w="2220"/>
        <w:gridCol w:w="2220"/>
      </w:tblGrid>
      <w:tr xmlns:wp14="http://schemas.microsoft.com/office/word/2010/wordml" w:rsidR="00C45C40" w:rsidTr="62031055" w14:paraId="77EBCB48" wp14:textId="77777777">
        <w:tc>
          <w:tcPr>
            <w:tcW w:w="12960" w:type="dxa"/>
            <w:gridSpan w:val="6"/>
            <w:tcBorders>
              <w:top w:val="nil"/>
              <w:left w:val="nil"/>
              <w:bottom w:val="nil"/>
            </w:tcBorders>
            <w:tcMar/>
            <w:vAlign w:val="bottom"/>
          </w:tcPr>
          <w:p w:rsidRPr="00CE6F88" w:rsidR="00C45C40" w:rsidP="00C45C40" w:rsidRDefault="00C45C40" w14:paraId="6797C1FE" wp14:textId="77777777">
            <w:pPr>
              <w:spacing w:before="120" w:after="120"/>
              <w:rPr>
                <w:b/>
                <w:color w:val="FFFFFF" w:themeColor="background1"/>
              </w:rPr>
            </w:pPr>
            <w:r w:rsidRPr="00C45C40">
              <w:rPr>
                <w:b/>
              </w:rPr>
              <w:t xml:space="preserve">Table 2. </w:t>
            </w:r>
            <w:r w:rsidR="003B2300">
              <w:rPr>
                <w:b/>
              </w:rPr>
              <w:t>Summary of Investment Option Purchase Costs and Annual Savings</w:t>
            </w:r>
            <w:bookmarkStart w:name="_GoBack" w:id="0"/>
            <w:bookmarkEnd w:id="0"/>
          </w:p>
        </w:tc>
      </w:tr>
      <w:tr xmlns:wp14="http://schemas.microsoft.com/office/word/2010/wordml" w:rsidR="008333F2" w:rsidTr="62031055" w14:paraId="6BF3F81E" wp14:textId="77777777">
        <w:tc>
          <w:tcPr>
            <w:tcW w:w="6300" w:type="dxa"/>
            <w:gridSpan w:val="3"/>
            <w:tcBorders>
              <w:top w:val="nil"/>
              <w:left w:val="nil"/>
            </w:tcBorders>
            <w:tcMar/>
            <w:vAlign w:val="bottom"/>
          </w:tcPr>
          <w:p w:rsidRPr="004D44E4" w:rsidR="008333F2" w:rsidP="00E76101" w:rsidRDefault="008333F2" w14:paraId="6B699379" wp14:textId="77777777">
            <w:pPr>
              <w:jc w:val="center"/>
              <w:rPr>
                <w:b/>
              </w:rPr>
            </w:pPr>
          </w:p>
        </w:tc>
        <w:tc>
          <w:tcPr>
            <w:tcW w:w="6660" w:type="dxa"/>
            <w:gridSpan w:val="3"/>
            <w:tcBorders>
              <w:top w:val="nil"/>
            </w:tcBorders>
            <w:shd w:val="clear" w:color="auto" w:fill="3B3838" w:themeFill="background2" w:themeFillShade="40"/>
            <w:tcMar/>
            <w:vAlign w:val="bottom"/>
          </w:tcPr>
          <w:p w:rsidR="008333F2" w:rsidP="005D6B2A" w:rsidRDefault="00C57C79" w14:paraId="1C3D17EA" wp14:textId="77777777">
            <w:pPr>
              <w:spacing w:before="120" w:after="120"/>
              <w:jc w:val="center"/>
              <w:rPr>
                <w:b/>
              </w:rPr>
            </w:pPr>
            <w:r w:rsidRPr="00CE6F88">
              <w:rPr>
                <w:b/>
                <w:color w:val="FFFFFF" w:themeColor="background1"/>
              </w:rPr>
              <w:t>Costs and Benefits of the Recommended Equipment Shown in Table 1</w:t>
            </w:r>
          </w:p>
        </w:tc>
      </w:tr>
      <w:tr xmlns:wp14="http://schemas.microsoft.com/office/word/2010/wordml" w:rsidR="008333F2" w:rsidTr="62031055" w14:paraId="7CBFE395" wp14:textId="77777777">
        <w:tc>
          <w:tcPr>
            <w:tcW w:w="2014" w:type="dxa"/>
            <w:shd w:val="clear" w:color="auto" w:fill="F2F2F2" w:themeFill="background1" w:themeFillShade="F2"/>
            <w:tcMar/>
            <w:vAlign w:val="bottom"/>
          </w:tcPr>
          <w:p w:rsidRPr="004D44E4" w:rsidR="008333F2" w:rsidP="00E76101" w:rsidRDefault="008333F2" w14:paraId="7049B0AC" wp14:textId="77777777">
            <w:pPr>
              <w:jc w:val="center"/>
              <w:rPr>
                <w:b/>
              </w:rPr>
            </w:pPr>
            <w:r w:rsidRPr="004D44E4">
              <w:rPr>
                <w:b/>
              </w:rPr>
              <w:t>Investment Option</w:t>
            </w:r>
          </w:p>
        </w:tc>
        <w:tc>
          <w:tcPr>
            <w:tcW w:w="1586" w:type="dxa"/>
            <w:shd w:val="clear" w:color="auto" w:fill="F2F2F2" w:themeFill="background1" w:themeFillShade="F2"/>
            <w:tcMar/>
            <w:vAlign w:val="bottom"/>
          </w:tcPr>
          <w:p w:rsidRPr="004D44E4" w:rsidR="008333F2" w:rsidP="00E76101" w:rsidRDefault="008333F2" w14:paraId="1DD721C5" wp14:textId="77777777">
            <w:pPr>
              <w:jc w:val="center"/>
              <w:rPr>
                <w:b/>
              </w:rPr>
            </w:pPr>
            <w:r w:rsidRPr="004D44E4">
              <w:rPr>
                <w:b/>
              </w:rPr>
              <w:t xml:space="preserve">Age of existing </w:t>
            </w:r>
            <w:r>
              <w:rPr>
                <w:b/>
              </w:rPr>
              <w:t>e</w:t>
            </w:r>
            <w:r w:rsidRPr="004D44E4">
              <w:rPr>
                <w:b/>
              </w:rPr>
              <w:t>quipment (years)</w:t>
            </w:r>
          </w:p>
        </w:tc>
        <w:tc>
          <w:tcPr>
            <w:tcW w:w="2700" w:type="dxa"/>
            <w:shd w:val="clear" w:color="auto" w:fill="F2F2F2" w:themeFill="background1" w:themeFillShade="F2"/>
            <w:tcMar/>
            <w:vAlign w:val="bottom"/>
          </w:tcPr>
          <w:p w:rsidRPr="004D44E4" w:rsidR="008333F2" w:rsidP="00E76101" w:rsidRDefault="008333F2" w14:paraId="090EBBAE" wp14:textId="77777777">
            <w:pPr>
              <w:jc w:val="center"/>
              <w:rPr>
                <w:b/>
              </w:rPr>
            </w:pPr>
            <w:r w:rsidRPr="004D44E4">
              <w:rPr>
                <w:b/>
              </w:rPr>
              <w:t>Estimated remaining life of existing equipment (years)</w:t>
            </w:r>
          </w:p>
        </w:tc>
        <w:tc>
          <w:tcPr>
            <w:tcW w:w="2220" w:type="dxa"/>
            <w:shd w:val="clear" w:color="auto" w:fill="F2F2F2" w:themeFill="background1" w:themeFillShade="F2"/>
            <w:tcMar/>
            <w:vAlign w:val="bottom"/>
          </w:tcPr>
          <w:p w:rsidRPr="004D44E4" w:rsidR="008333F2" w:rsidP="00E76101" w:rsidRDefault="008333F2" w14:paraId="3B1C8BD0" wp14:textId="77777777">
            <w:pPr>
              <w:jc w:val="center"/>
              <w:rPr>
                <w:b/>
              </w:rPr>
            </w:pPr>
            <w:r w:rsidRPr="004D44E4">
              <w:rPr>
                <w:b/>
              </w:rPr>
              <w:t xml:space="preserve">Net </w:t>
            </w:r>
            <w:r w:rsidR="00C57C79">
              <w:rPr>
                <w:b/>
              </w:rPr>
              <w:t>Purchase and Installation Costs</w:t>
            </w:r>
          </w:p>
        </w:tc>
        <w:tc>
          <w:tcPr>
            <w:tcW w:w="2220" w:type="dxa"/>
            <w:shd w:val="clear" w:color="auto" w:fill="F2F2F2" w:themeFill="background1" w:themeFillShade="F2"/>
            <w:tcMar/>
            <w:vAlign w:val="bottom"/>
          </w:tcPr>
          <w:p w:rsidRPr="004D44E4" w:rsidR="008333F2" w:rsidP="00E76101" w:rsidRDefault="008333F2" w14:paraId="4804A81A" wp14:textId="77777777">
            <w:pPr>
              <w:jc w:val="center"/>
              <w:rPr>
                <w:b/>
              </w:rPr>
            </w:pPr>
            <w:r>
              <w:rPr>
                <w:b/>
              </w:rPr>
              <w:t>Payback Year</w:t>
            </w:r>
            <w:r w:rsidR="00C57C79">
              <w:rPr>
                <w:b/>
              </w:rPr>
              <w:t xml:space="preserve"> compared to</w:t>
            </w:r>
            <w:r>
              <w:rPr>
                <w:b/>
              </w:rPr>
              <w:t xml:space="preserve"> current system</w:t>
            </w:r>
          </w:p>
        </w:tc>
        <w:tc>
          <w:tcPr>
            <w:tcW w:w="2220" w:type="dxa"/>
            <w:shd w:val="clear" w:color="auto" w:fill="F2F2F2" w:themeFill="background1" w:themeFillShade="F2"/>
            <w:tcMar/>
            <w:vAlign w:val="bottom"/>
          </w:tcPr>
          <w:p w:rsidR="008333F2" w:rsidP="00E76101" w:rsidRDefault="00C57C79" w14:paraId="7D9EAE8B" wp14:textId="77777777">
            <w:pPr>
              <w:jc w:val="center"/>
              <w:rPr>
                <w:b/>
              </w:rPr>
            </w:pPr>
            <w:r>
              <w:rPr>
                <w:b/>
              </w:rPr>
              <w:t xml:space="preserve">Immediate Annual Cost Savings Compared to the Current System </w:t>
            </w:r>
          </w:p>
          <w:p w:rsidRPr="004D44E4" w:rsidR="00C57C79" w:rsidP="00E76101" w:rsidRDefault="00C57C79" w14:paraId="2A7BFDA9" wp14:textId="77777777">
            <w:pPr>
              <w:jc w:val="center"/>
              <w:rPr>
                <w:b/>
              </w:rPr>
            </w:pPr>
            <w:r>
              <w:rPr>
                <w:b/>
              </w:rPr>
              <w:t>(includes energy and other costs)</w:t>
            </w:r>
          </w:p>
        </w:tc>
      </w:tr>
      <w:tr xmlns:wp14="http://schemas.microsoft.com/office/word/2010/wordml" w:rsidR="000F4547" w:rsidTr="62031055" w14:paraId="0D75D18B" wp14:textId="77777777">
        <w:tc>
          <w:tcPr>
            <w:tcW w:w="2014" w:type="dxa"/>
            <w:tcMar>
              <w:top w:w="115" w:type="dxa"/>
              <w:left w:w="115" w:type="dxa"/>
              <w:bottom w:w="115" w:type="dxa"/>
              <w:right w:w="115" w:type="dxa"/>
            </w:tcMar>
          </w:tcPr>
          <w:p w:rsidRPr="00C57C79" w:rsidR="000F4547" w:rsidP="62031055" w:rsidRDefault="000F4547" w14:paraId="42BDE1A9" wp14:textId="7D626F05">
            <w:pPr>
              <w:rPr>
                <w:b w:val="1"/>
                <w:bCs w:val="1"/>
              </w:rPr>
            </w:pPr>
            <w:r w:rsidRPr="62031055" w:rsidR="40648430">
              <w:rPr>
                <w:b w:val="1"/>
                <w:bCs w:val="1"/>
              </w:rPr>
              <w:t>EV</w:t>
            </w:r>
            <w:r w:rsidRPr="62031055" w:rsidR="2886717A">
              <w:rPr>
                <w:b w:val="1"/>
                <w:bCs w:val="1"/>
              </w:rPr>
              <w:t xml:space="preserve"> – Nissan Leaf S</w:t>
            </w:r>
          </w:p>
        </w:tc>
        <w:tc>
          <w:tcPr>
            <w:tcW w:w="1586" w:type="dxa"/>
            <w:tcMar>
              <w:top w:w="115" w:type="dxa"/>
              <w:left w:w="115" w:type="dxa"/>
              <w:bottom w:w="115" w:type="dxa"/>
              <w:right w:w="115" w:type="dxa"/>
            </w:tcMar>
          </w:tcPr>
          <w:p w:rsidR="000F4547" w:rsidP="000F4547" w:rsidRDefault="000F4547" w14:paraId="33CFEC6B" wp14:textId="77777777">
            <w:pPr>
              <w:jc w:val="center"/>
            </w:pPr>
            <w:r>
              <w:t>15</w:t>
            </w:r>
          </w:p>
        </w:tc>
        <w:tc>
          <w:tcPr>
            <w:tcW w:w="2700" w:type="dxa"/>
            <w:tcMar>
              <w:top w:w="115" w:type="dxa"/>
              <w:left w:w="115" w:type="dxa"/>
              <w:bottom w:w="115" w:type="dxa"/>
              <w:right w:w="115" w:type="dxa"/>
            </w:tcMar>
          </w:tcPr>
          <w:p w:rsidR="000F4547" w:rsidP="000F4547" w:rsidRDefault="000F4547" w14:paraId="78941E47" wp14:textId="77777777">
            <w:pPr>
              <w:jc w:val="center"/>
            </w:pPr>
            <w:r>
              <w:t>5</w:t>
            </w:r>
          </w:p>
        </w:tc>
        <w:tc>
          <w:tcPr>
            <w:tcW w:w="2220" w:type="dxa"/>
            <w:tcMar>
              <w:top w:w="115" w:type="dxa"/>
              <w:left w:w="115" w:type="dxa"/>
              <w:bottom w:w="115" w:type="dxa"/>
              <w:right w:w="115" w:type="dxa"/>
            </w:tcMar>
          </w:tcPr>
          <w:p w:rsidR="000F4547" w:rsidP="000F4547" w:rsidRDefault="000F4547" w14:paraId="3FE9F23F" wp14:textId="4BDAEE1A">
            <w:pPr>
              <w:jc w:val="right"/>
            </w:pPr>
            <w:r w:rsidR="4D2A07DA">
              <w:rPr/>
              <w:t>$6,600</w:t>
            </w:r>
          </w:p>
        </w:tc>
        <w:tc>
          <w:tcPr>
            <w:tcW w:w="2220" w:type="dxa"/>
            <w:tcMar>
              <w:top w:w="115" w:type="dxa"/>
              <w:left w:w="115" w:type="dxa"/>
              <w:bottom w:w="115" w:type="dxa"/>
              <w:right w:w="115" w:type="dxa"/>
            </w:tcMar>
          </w:tcPr>
          <w:p w:rsidR="000F4547" w:rsidP="000F4547" w:rsidRDefault="000F4547" w14:paraId="78ABC25B" wp14:textId="77777777">
            <w:pPr>
              <w:jc w:val="center"/>
            </w:pPr>
            <w:r w:rsidRPr="00505642">
              <w:t>Not Applicable</w:t>
            </w:r>
            <w:r>
              <w:t>*</w:t>
            </w:r>
          </w:p>
        </w:tc>
        <w:tc>
          <w:tcPr>
            <w:tcW w:w="2220" w:type="dxa"/>
            <w:tcMar/>
          </w:tcPr>
          <w:p w:rsidR="000F4547" w:rsidP="000F4547" w:rsidRDefault="000F4547" w14:paraId="1F72F646" wp14:textId="01D05538">
            <w:r w:rsidR="600E46D7">
              <w:rPr/>
              <w:t>N/A</w:t>
            </w:r>
          </w:p>
        </w:tc>
      </w:tr>
      <w:tr xmlns:wp14="http://schemas.microsoft.com/office/word/2010/wordml" w:rsidR="000F4547" w:rsidTr="62031055" w14:paraId="481E42DD" wp14:textId="77777777">
        <w:tc>
          <w:tcPr>
            <w:tcW w:w="2014" w:type="dxa"/>
            <w:shd w:val="clear" w:color="auto" w:fill="auto"/>
            <w:tcMar>
              <w:top w:w="115" w:type="dxa"/>
              <w:left w:w="115" w:type="dxa"/>
              <w:bottom w:w="115" w:type="dxa"/>
              <w:right w:w="115" w:type="dxa"/>
            </w:tcMar>
          </w:tcPr>
          <w:p w:rsidRPr="00C57C79" w:rsidR="000F4547" w:rsidP="62031055" w:rsidRDefault="000F4547" w14:paraId="3DA19D76" wp14:textId="73982CD0">
            <w:pPr>
              <w:rPr>
                <w:b w:val="1"/>
                <w:bCs w:val="1"/>
              </w:rPr>
            </w:pPr>
            <w:r w:rsidRPr="62031055" w:rsidR="40648430">
              <w:rPr>
                <w:b w:val="1"/>
                <w:bCs w:val="1"/>
              </w:rPr>
              <w:t>Furnace</w:t>
            </w:r>
            <w:r w:rsidRPr="62031055" w:rsidR="15D7B2F4">
              <w:rPr>
                <w:b w:val="1"/>
                <w:bCs w:val="1"/>
              </w:rPr>
              <w:t xml:space="preserve"> – 95 AFUE</w:t>
            </w:r>
          </w:p>
        </w:tc>
        <w:tc>
          <w:tcPr>
            <w:tcW w:w="1586" w:type="dxa"/>
            <w:shd w:val="clear" w:color="auto" w:fill="auto"/>
            <w:tcMar>
              <w:top w:w="115" w:type="dxa"/>
              <w:left w:w="115" w:type="dxa"/>
              <w:bottom w:w="115" w:type="dxa"/>
              <w:right w:w="115" w:type="dxa"/>
            </w:tcMar>
          </w:tcPr>
          <w:p w:rsidR="000F4547" w:rsidP="000F4547" w:rsidRDefault="000F4547" w14:paraId="44C26413" wp14:textId="77777777">
            <w:pPr>
              <w:jc w:val="center"/>
            </w:pPr>
            <w:r>
              <w:t>22</w:t>
            </w:r>
          </w:p>
        </w:tc>
        <w:tc>
          <w:tcPr>
            <w:tcW w:w="2700" w:type="dxa"/>
            <w:shd w:val="clear" w:color="auto" w:fill="auto"/>
            <w:tcMar>
              <w:top w:w="115" w:type="dxa"/>
              <w:left w:w="115" w:type="dxa"/>
              <w:bottom w:w="115" w:type="dxa"/>
              <w:right w:w="115" w:type="dxa"/>
            </w:tcMar>
          </w:tcPr>
          <w:p w:rsidR="000F4547" w:rsidP="000F4547" w:rsidRDefault="000F4547" w14:paraId="6595A644" wp14:textId="77777777">
            <w:pPr>
              <w:jc w:val="center"/>
            </w:pPr>
            <w:r>
              <w:t>3-8 with a major repair likely soon</w:t>
            </w:r>
          </w:p>
        </w:tc>
        <w:tc>
          <w:tcPr>
            <w:tcW w:w="2220" w:type="dxa"/>
            <w:shd w:val="clear" w:color="auto" w:fill="auto"/>
            <w:tcMar>
              <w:top w:w="115" w:type="dxa"/>
              <w:left w:w="115" w:type="dxa"/>
              <w:bottom w:w="115" w:type="dxa"/>
              <w:right w:w="115" w:type="dxa"/>
            </w:tcMar>
          </w:tcPr>
          <w:p w:rsidR="000F4547" w:rsidP="000F4547" w:rsidRDefault="000F4547" w14:paraId="08CE6F91" wp14:textId="7AF07120">
            <w:pPr>
              <w:jc w:val="right"/>
            </w:pPr>
            <w:r w:rsidR="1ACEDC7D">
              <w:rPr/>
              <w:t>$</w:t>
            </w:r>
            <w:r w:rsidR="40A301FD">
              <w:rPr/>
              <w:t>4,850</w:t>
            </w:r>
          </w:p>
        </w:tc>
        <w:tc>
          <w:tcPr>
            <w:tcW w:w="2220" w:type="dxa"/>
            <w:shd w:val="clear" w:color="auto" w:fill="auto"/>
            <w:tcMar>
              <w:top w:w="115" w:type="dxa"/>
              <w:left w:w="115" w:type="dxa"/>
              <w:bottom w:w="115" w:type="dxa"/>
              <w:right w:w="115" w:type="dxa"/>
            </w:tcMar>
          </w:tcPr>
          <w:p w:rsidR="000F4547" w:rsidP="000F4547" w:rsidRDefault="000F4547" w14:paraId="43949307" wp14:textId="77777777">
            <w:pPr>
              <w:jc w:val="center"/>
            </w:pPr>
            <w:r w:rsidRPr="00505642">
              <w:t>Not Applicable</w:t>
            </w:r>
            <w:r>
              <w:t>*</w:t>
            </w:r>
          </w:p>
        </w:tc>
        <w:tc>
          <w:tcPr>
            <w:tcW w:w="2220" w:type="dxa"/>
            <w:shd w:val="clear" w:color="auto" w:fill="auto"/>
            <w:tcMar/>
          </w:tcPr>
          <w:p w:rsidR="000F4547" w:rsidP="000F4547" w:rsidRDefault="000F4547" w14:paraId="61CDCEAD" wp14:textId="1084BB3B">
            <w:r w:rsidR="39968706">
              <w:rPr/>
              <w:t>N/A</w:t>
            </w:r>
          </w:p>
        </w:tc>
      </w:tr>
      <w:tr xmlns:wp14="http://schemas.microsoft.com/office/word/2010/wordml" w:rsidR="000F4547" w:rsidTr="62031055" w14:paraId="2C99BE95" wp14:textId="77777777">
        <w:tc>
          <w:tcPr>
            <w:tcW w:w="2014" w:type="dxa"/>
            <w:shd w:val="clear" w:color="auto" w:fill="auto"/>
            <w:tcMar>
              <w:top w:w="115" w:type="dxa"/>
              <w:left w:w="115" w:type="dxa"/>
              <w:bottom w:w="115" w:type="dxa"/>
              <w:right w:w="115" w:type="dxa"/>
            </w:tcMar>
          </w:tcPr>
          <w:p w:rsidRPr="00C57C79" w:rsidR="000F4547" w:rsidP="62031055" w:rsidRDefault="000F4547" w14:paraId="26542080" wp14:textId="1F26AD73">
            <w:pPr>
              <w:rPr>
                <w:b w:val="1"/>
                <w:bCs w:val="1"/>
              </w:rPr>
            </w:pPr>
            <w:r w:rsidRPr="62031055" w:rsidR="40648430">
              <w:rPr>
                <w:b w:val="1"/>
                <w:bCs w:val="1"/>
              </w:rPr>
              <w:t>Air Conditioner</w:t>
            </w:r>
            <w:r w:rsidRPr="62031055" w:rsidR="3CCB2EB9">
              <w:rPr>
                <w:b w:val="1"/>
                <w:bCs w:val="1"/>
              </w:rPr>
              <w:t xml:space="preserve"> – Energy Star SEER2 16.2</w:t>
            </w:r>
          </w:p>
        </w:tc>
        <w:tc>
          <w:tcPr>
            <w:tcW w:w="1586" w:type="dxa"/>
            <w:shd w:val="clear" w:color="auto" w:fill="auto"/>
            <w:tcMar>
              <w:top w:w="115" w:type="dxa"/>
              <w:left w:w="115" w:type="dxa"/>
              <w:bottom w:w="115" w:type="dxa"/>
              <w:right w:w="115" w:type="dxa"/>
            </w:tcMar>
          </w:tcPr>
          <w:p w:rsidR="000F4547" w:rsidP="000F4547" w:rsidRDefault="000F4547" w14:paraId="4B73E586" wp14:textId="77777777">
            <w:pPr>
              <w:jc w:val="center"/>
            </w:pPr>
            <w:r>
              <w:t>12</w:t>
            </w:r>
          </w:p>
        </w:tc>
        <w:tc>
          <w:tcPr>
            <w:tcW w:w="2700" w:type="dxa"/>
            <w:shd w:val="clear" w:color="auto" w:fill="auto"/>
            <w:tcMar>
              <w:top w:w="115" w:type="dxa"/>
              <w:left w:w="115" w:type="dxa"/>
              <w:bottom w:w="115" w:type="dxa"/>
              <w:right w:w="115" w:type="dxa"/>
            </w:tcMar>
          </w:tcPr>
          <w:p w:rsidR="000F4547" w:rsidP="000F4547" w:rsidRDefault="000F4547" w14:paraId="005DB074" wp14:textId="77777777">
            <w:pPr>
              <w:jc w:val="center"/>
            </w:pPr>
            <w:r>
              <w:t>3-8 with a major repair likely within 8 years</w:t>
            </w:r>
          </w:p>
        </w:tc>
        <w:tc>
          <w:tcPr>
            <w:tcW w:w="2220" w:type="dxa"/>
            <w:shd w:val="clear" w:color="auto" w:fill="auto"/>
            <w:tcMar>
              <w:top w:w="115" w:type="dxa"/>
              <w:left w:w="115" w:type="dxa"/>
              <w:bottom w:w="115" w:type="dxa"/>
              <w:right w:w="115" w:type="dxa"/>
            </w:tcMar>
          </w:tcPr>
          <w:p w:rsidR="000F4547" w:rsidP="000F4547" w:rsidRDefault="000F4547" w14:paraId="6BB9E253" wp14:textId="3440C811">
            <w:pPr>
              <w:jc w:val="right"/>
            </w:pPr>
            <w:r w:rsidR="5CC71021">
              <w:rPr/>
              <w:t>$</w:t>
            </w:r>
            <w:r w:rsidR="3D6C5B8A">
              <w:rPr/>
              <w:t>8,900</w:t>
            </w:r>
          </w:p>
        </w:tc>
        <w:tc>
          <w:tcPr>
            <w:tcW w:w="2220" w:type="dxa"/>
            <w:shd w:val="clear" w:color="auto" w:fill="auto"/>
            <w:tcMar>
              <w:top w:w="115" w:type="dxa"/>
              <w:left w:w="115" w:type="dxa"/>
              <w:bottom w:w="115" w:type="dxa"/>
              <w:right w:w="115" w:type="dxa"/>
            </w:tcMar>
          </w:tcPr>
          <w:p w:rsidR="000F4547" w:rsidP="000F4547" w:rsidRDefault="000F4547" w14:paraId="56A50762" wp14:textId="77777777">
            <w:pPr>
              <w:jc w:val="center"/>
            </w:pPr>
            <w:r w:rsidRPr="00505642">
              <w:t>Not Applicable</w:t>
            </w:r>
            <w:r>
              <w:t>*</w:t>
            </w:r>
          </w:p>
        </w:tc>
        <w:tc>
          <w:tcPr>
            <w:tcW w:w="2220" w:type="dxa"/>
            <w:shd w:val="clear" w:color="auto" w:fill="auto"/>
            <w:tcMar/>
          </w:tcPr>
          <w:p w:rsidR="000F4547" w:rsidP="000F4547" w:rsidRDefault="000F4547" w14:paraId="23DE523C" wp14:textId="7BEA1880">
            <w:r w:rsidR="3499C6C9">
              <w:rPr/>
              <w:t>N/A</w:t>
            </w:r>
          </w:p>
        </w:tc>
      </w:tr>
      <w:tr xmlns:wp14="http://schemas.microsoft.com/office/word/2010/wordml" w:rsidR="00C57C79" w:rsidTr="62031055" w14:paraId="693F0638" wp14:textId="77777777">
        <w:tc>
          <w:tcPr>
            <w:tcW w:w="2014" w:type="dxa"/>
            <w:shd w:val="clear" w:color="auto" w:fill="auto"/>
            <w:tcMar>
              <w:top w:w="115" w:type="dxa"/>
              <w:left w:w="115" w:type="dxa"/>
              <w:bottom w:w="115" w:type="dxa"/>
              <w:right w:w="115" w:type="dxa"/>
            </w:tcMar>
          </w:tcPr>
          <w:p w:rsidRPr="00C57C79" w:rsidR="008333F2" w:rsidP="62031055" w:rsidRDefault="008333F2" w14:paraId="3F787187" wp14:textId="51F06285">
            <w:pPr>
              <w:rPr>
                <w:b w:val="1"/>
                <w:bCs w:val="1"/>
              </w:rPr>
            </w:pPr>
            <w:r w:rsidRPr="62031055" w:rsidR="23FEC560">
              <w:rPr>
                <w:b w:val="1"/>
                <w:bCs w:val="1"/>
              </w:rPr>
              <w:t>Heat Pump</w:t>
            </w:r>
            <w:r w:rsidRPr="62031055" w:rsidR="3A448879">
              <w:rPr>
                <w:b w:val="1"/>
                <w:bCs w:val="1"/>
              </w:rPr>
              <w:t xml:space="preserve"> - </w:t>
            </w:r>
          </w:p>
        </w:tc>
        <w:tc>
          <w:tcPr>
            <w:tcW w:w="1586" w:type="dxa"/>
            <w:shd w:val="clear" w:color="auto" w:fill="auto"/>
            <w:tcMar>
              <w:top w:w="115" w:type="dxa"/>
              <w:left w:w="115" w:type="dxa"/>
              <w:bottom w:w="115" w:type="dxa"/>
              <w:right w:w="115" w:type="dxa"/>
            </w:tcMar>
          </w:tcPr>
          <w:p w:rsidR="008333F2" w:rsidP="00E76101" w:rsidRDefault="008333F2" w14:paraId="2A067869" wp14:textId="77777777">
            <w:pPr>
              <w:jc w:val="center"/>
            </w:pPr>
            <w:r>
              <w:t>NA replaces above</w:t>
            </w:r>
          </w:p>
        </w:tc>
        <w:tc>
          <w:tcPr>
            <w:tcW w:w="2700" w:type="dxa"/>
            <w:shd w:val="clear" w:color="auto" w:fill="auto"/>
            <w:tcMar>
              <w:top w:w="115" w:type="dxa"/>
              <w:left w:w="115" w:type="dxa"/>
              <w:bottom w:w="115" w:type="dxa"/>
              <w:right w:w="115" w:type="dxa"/>
            </w:tcMar>
          </w:tcPr>
          <w:p w:rsidR="008333F2" w:rsidP="00E76101" w:rsidRDefault="000F4547" w14:paraId="72742336" wp14:textId="77777777">
            <w:pPr>
              <w:jc w:val="center"/>
            </w:pPr>
            <w:r>
              <w:t>Replaces existing furnace and air conditioner, so 3-8 years</w:t>
            </w:r>
          </w:p>
        </w:tc>
        <w:tc>
          <w:tcPr>
            <w:tcW w:w="2220" w:type="dxa"/>
            <w:shd w:val="clear" w:color="auto" w:fill="auto"/>
            <w:tcMar>
              <w:top w:w="115" w:type="dxa"/>
              <w:left w:w="115" w:type="dxa"/>
              <w:bottom w:w="115" w:type="dxa"/>
              <w:right w:w="115" w:type="dxa"/>
            </w:tcMar>
          </w:tcPr>
          <w:p w:rsidR="008333F2" w:rsidP="62031055" w:rsidRDefault="008333F2" w14:paraId="52E56223" wp14:textId="20DEE007">
            <w:pPr>
              <w:pStyle w:val="Normal"/>
              <w:suppressLineNumbers w:val="0"/>
              <w:bidi w:val="0"/>
              <w:spacing w:before="0" w:beforeAutospacing="off" w:after="0" w:afterAutospacing="off" w:line="240" w:lineRule="auto"/>
              <w:ind w:left="0" w:right="0"/>
              <w:jc w:val="right"/>
            </w:pPr>
            <w:r w:rsidR="2616A938">
              <w:rPr/>
              <w:t>$</w:t>
            </w:r>
            <w:r w:rsidR="2616A938">
              <w:rPr/>
              <w:t>15,340</w:t>
            </w:r>
          </w:p>
        </w:tc>
        <w:tc>
          <w:tcPr>
            <w:tcW w:w="2220" w:type="dxa"/>
            <w:shd w:val="clear" w:color="auto" w:fill="auto"/>
            <w:tcMar>
              <w:top w:w="115" w:type="dxa"/>
              <w:left w:w="115" w:type="dxa"/>
              <w:bottom w:w="115" w:type="dxa"/>
              <w:right w:w="115" w:type="dxa"/>
            </w:tcMar>
          </w:tcPr>
          <w:p w:rsidR="008333F2" w:rsidP="00E76101" w:rsidRDefault="008333F2" w14:paraId="07547A01" wp14:textId="3C1E9EBD">
            <w:r w:rsidR="2616A938">
              <w:rPr/>
              <w:t>15</w:t>
            </w:r>
          </w:p>
        </w:tc>
        <w:tc>
          <w:tcPr>
            <w:tcW w:w="2220" w:type="dxa"/>
            <w:shd w:val="clear" w:color="auto" w:fill="auto"/>
            <w:tcMar/>
          </w:tcPr>
          <w:p w:rsidR="008333F2" w:rsidP="00E76101" w:rsidRDefault="008333F2" w14:paraId="5043CB0F" wp14:textId="6D6ABF5E">
            <w:r w:rsidR="2616A938">
              <w:rPr/>
              <w:t>$</w:t>
            </w:r>
            <w:r w:rsidR="39FE2AB2">
              <w:rPr/>
              <w:t>901</w:t>
            </w:r>
          </w:p>
        </w:tc>
      </w:tr>
      <w:tr xmlns:wp14="http://schemas.microsoft.com/office/word/2010/wordml" w:rsidR="008333F2" w:rsidTr="62031055" w14:paraId="50AF88EE" wp14:textId="77777777">
        <w:tc>
          <w:tcPr>
            <w:tcW w:w="2014" w:type="dxa"/>
            <w:tcMar>
              <w:top w:w="115" w:type="dxa"/>
              <w:left w:w="115" w:type="dxa"/>
              <w:bottom w:w="115" w:type="dxa"/>
              <w:right w:w="115" w:type="dxa"/>
            </w:tcMar>
          </w:tcPr>
          <w:p w:rsidRPr="00C57C79" w:rsidR="008333F2" w:rsidP="00C57C79" w:rsidRDefault="008333F2" w14:paraId="01855951" wp14:textId="77777777">
            <w:pPr>
              <w:rPr>
                <w:b/>
              </w:rPr>
            </w:pPr>
            <w:r w:rsidRPr="00C57C79">
              <w:rPr>
                <w:b/>
              </w:rPr>
              <w:t>Insulation</w:t>
            </w:r>
          </w:p>
        </w:tc>
        <w:tc>
          <w:tcPr>
            <w:tcW w:w="1586" w:type="dxa"/>
            <w:tcMar>
              <w:top w:w="115" w:type="dxa"/>
              <w:left w:w="115" w:type="dxa"/>
              <w:bottom w:w="115" w:type="dxa"/>
              <w:right w:w="115" w:type="dxa"/>
            </w:tcMar>
          </w:tcPr>
          <w:p w:rsidR="008333F2" w:rsidP="00E76101" w:rsidRDefault="008333F2" w14:paraId="58A771A2" wp14:textId="77777777">
            <w:pPr>
              <w:jc w:val="center"/>
            </w:pPr>
            <w:r>
              <w:t>75</w:t>
            </w:r>
          </w:p>
        </w:tc>
        <w:tc>
          <w:tcPr>
            <w:tcW w:w="2700" w:type="dxa"/>
            <w:tcMar>
              <w:top w:w="115" w:type="dxa"/>
              <w:left w:w="115" w:type="dxa"/>
              <w:bottom w:w="115" w:type="dxa"/>
              <w:right w:w="115" w:type="dxa"/>
            </w:tcMar>
          </w:tcPr>
          <w:p w:rsidR="008333F2" w:rsidP="00E76101" w:rsidRDefault="000F4547" w14:paraId="4BC0BCD4" wp14:textId="77777777">
            <w:pPr>
              <w:jc w:val="center"/>
            </w:pPr>
            <w:r>
              <w:t>Does not apply to insulation</w:t>
            </w:r>
          </w:p>
        </w:tc>
        <w:tc>
          <w:tcPr>
            <w:tcW w:w="2220" w:type="dxa"/>
            <w:tcMar>
              <w:top w:w="115" w:type="dxa"/>
              <w:left w:w="115" w:type="dxa"/>
              <w:bottom w:w="115" w:type="dxa"/>
              <w:right w:w="115" w:type="dxa"/>
            </w:tcMar>
          </w:tcPr>
          <w:p w:rsidR="008333F2" w:rsidP="00E76101" w:rsidRDefault="008333F2" w14:paraId="07459315" wp14:textId="4FB8B36D">
            <w:pPr>
              <w:jc w:val="right"/>
            </w:pPr>
            <w:r w:rsidR="4CED394D">
              <w:rPr/>
              <w:t>$2,640</w:t>
            </w:r>
          </w:p>
        </w:tc>
        <w:tc>
          <w:tcPr>
            <w:tcW w:w="2220" w:type="dxa"/>
            <w:tcMar>
              <w:top w:w="115" w:type="dxa"/>
              <w:left w:w="115" w:type="dxa"/>
              <w:bottom w:w="115" w:type="dxa"/>
              <w:right w:w="115" w:type="dxa"/>
            </w:tcMar>
          </w:tcPr>
          <w:p w:rsidR="008333F2" w:rsidP="00E76101" w:rsidRDefault="008333F2" w14:paraId="6537F28F" wp14:textId="22510B3E">
            <w:pPr>
              <w:jc w:val="center"/>
            </w:pPr>
            <w:r w:rsidR="4CED394D">
              <w:rPr/>
              <w:t>15</w:t>
            </w:r>
          </w:p>
        </w:tc>
        <w:tc>
          <w:tcPr>
            <w:tcW w:w="2220" w:type="dxa"/>
            <w:tcMar/>
          </w:tcPr>
          <w:p w:rsidR="008333F2" w:rsidP="00E76101" w:rsidRDefault="008333F2" w14:paraId="6DFB9E20" wp14:textId="72EEE8BB">
            <w:pPr>
              <w:jc w:val="center"/>
            </w:pPr>
            <w:r w:rsidR="4CED394D">
              <w:rPr/>
              <w:t>$18</w:t>
            </w:r>
            <w:r w:rsidR="3EB6D613">
              <w:rPr/>
              <w:t>9</w:t>
            </w:r>
          </w:p>
        </w:tc>
      </w:tr>
      <w:tr xmlns:wp14="http://schemas.microsoft.com/office/word/2010/wordml" w:rsidR="008333F2" w:rsidTr="62031055" w14:paraId="398728B7" wp14:textId="77777777">
        <w:tc>
          <w:tcPr>
            <w:tcW w:w="2014" w:type="dxa"/>
            <w:tcMar>
              <w:top w:w="115" w:type="dxa"/>
              <w:left w:w="115" w:type="dxa"/>
              <w:bottom w:w="115" w:type="dxa"/>
              <w:right w:w="115" w:type="dxa"/>
            </w:tcMar>
          </w:tcPr>
          <w:p w:rsidRPr="00C57C79" w:rsidR="008333F2" w:rsidP="00C57C79" w:rsidRDefault="008333F2" w14:paraId="76021685" wp14:textId="77777777">
            <w:pPr>
              <w:rPr>
                <w:b/>
              </w:rPr>
            </w:pPr>
            <w:r w:rsidRPr="00C57C79">
              <w:rPr>
                <w:b/>
              </w:rPr>
              <w:t>Water Heater</w:t>
            </w:r>
          </w:p>
        </w:tc>
        <w:tc>
          <w:tcPr>
            <w:tcW w:w="1586" w:type="dxa"/>
            <w:tcMar>
              <w:top w:w="115" w:type="dxa"/>
              <w:left w:w="115" w:type="dxa"/>
              <w:bottom w:w="115" w:type="dxa"/>
              <w:right w:w="115" w:type="dxa"/>
            </w:tcMar>
          </w:tcPr>
          <w:p w:rsidR="008333F2" w:rsidP="00E76101" w:rsidRDefault="008333F2" w14:paraId="5D369756" wp14:textId="77777777">
            <w:pPr>
              <w:jc w:val="center"/>
            </w:pPr>
            <w:r>
              <w:t>10</w:t>
            </w:r>
          </w:p>
        </w:tc>
        <w:tc>
          <w:tcPr>
            <w:tcW w:w="2700" w:type="dxa"/>
            <w:tcMar>
              <w:top w:w="115" w:type="dxa"/>
              <w:left w:w="115" w:type="dxa"/>
              <w:bottom w:w="115" w:type="dxa"/>
              <w:right w:w="115" w:type="dxa"/>
            </w:tcMar>
          </w:tcPr>
          <w:p w:rsidR="008333F2" w:rsidP="00E76101" w:rsidRDefault="008333F2" w14:paraId="446DE71A" wp14:textId="77777777">
            <w:pPr>
              <w:jc w:val="center"/>
            </w:pPr>
            <w:r>
              <w:t>10</w:t>
            </w:r>
          </w:p>
        </w:tc>
        <w:tc>
          <w:tcPr>
            <w:tcW w:w="2220" w:type="dxa"/>
            <w:tcMar>
              <w:top w:w="115" w:type="dxa"/>
              <w:left w:w="115" w:type="dxa"/>
              <w:bottom w:w="115" w:type="dxa"/>
              <w:right w:w="115" w:type="dxa"/>
            </w:tcMar>
          </w:tcPr>
          <w:p w:rsidR="008333F2" w:rsidP="00E76101" w:rsidRDefault="008333F2" w14:paraId="70DF9E56" wp14:textId="3172CB66">
            <w:pPr>
              <w:jc w:val="right"/>
            </w:pPr>
            <w:r w:rsidR="71E126A1">
              <w:rPr/>
              <w:t>$2,275</w:t>
            </w:r>
          </w:p>
        </w:tc>
        <w:tc>
          <w:tcPr>
            <w:tcW w:w="2220" w:type="dxa"/>
            <w:tcMar>
              <w:top w:w="115" w:type="dxa"/>
              <w:left w:w="115" w:type="dxa"/>
              <w:bottom w:w="115" w:type="dxa"/>
              <w:right w:w="115" w:type="dxa"/>
            </w:tcMar>
          </w:tcPr>
          <w:p w:rsidR="008333F2" w:rsidP="00E76101" w:rsidRDefault="008333F2" w14:paraId="44E871BC" wp14:textId="534B77FD">
            <w:pPr>
              <w:jc w:val="center"/>
            </w:pPr>
            <w:r w:rsidR="6EE1221E">
              <w:rPr/>
              <w:t>11</w:t>
            </w:r>
          </w:p>
        </w:tc>
        <w:tc>
          <w:tcPr>
            <w:tcW w:w="2220" w:type="dxa"/>
            <w:tcMar/>
          </w:tcPr>
          <w:p w:rsidR="008333F2" w:rsidP="00E76101" w:rsidRDefault="008333F2" w14:paraId="144A5D23" wp14:textId="536FBD62">
            <w:r w:rsidR="6EE1221E">
              <w:rPr/>
              <w:t>$210</w:t>
            </w:r>
          </w:p>
        </w:tc>
      </w:tr>
      <w:tr xmlns:wp14="http://schemas.microsoft.com/office/word/2010/wordml" w:rsidR="008333F2" w:rsidTr="62031055" w14:paraId="56D008EB" wp14:textId="77777777">
        <w:tc>
          <w:tcPr>
            <w:tcW w:w="2014" w:type="dxa"/>
            <w:tcMar>
              <w:top w:w="115" w:type="dxa"/>
              <w:left w:w="115" w:type="dxa"/>
              <w:bottom w:w="115" w:type="dxa"/>
              <w:right w:w="115" w:type="dxa"/>
            </w:tcMar>
          </w:tcPr>
          <w:p w:rsidRPr="00C57C79" w:rsidR="008333F2" w:rsidP="00C57C79" w:rsidRDefault="008333F2" w14:paraId="6C840FB8" wp14:textId="77777777">
            <w:pPr>
              <w:rPr>
                <w:b/>
              </w:rPr>
            </w:pPr>
            <w:r w:rsidRPr="00C57C79">
              <w:rPr>
                <w:b/>
              </w:rPr>
              <w:t>PV System</w:t>
            </w:r>
          </w:p>
        </w:tc>
        <w:tc>
          <w:tcPr>
            <w:tcW w:w="1586" w:type="dxa"/>
            <w:tcMar>
              <w:top w:w="115" w:type="dxa"/>
              <w:left w:w="115" w:type="dxa"/>
              <w:bottom w:w="115" w:type="dxa"/>
              <w:right w:w="115" w:type="dxa"/>
            </w:tcMar>
          </w:tcPr>
          <w:p w:rsidR="008333F2" w:rsidP="00E76101" w:rsidRDefault="008333F2" w14:paraId="146E8121" wp14:textId="77777777">
            <w:pPr>
              <w:jc w:val="center"/>
            </w:pPr>
            <w:r>
              <w:t>NA</w:t>
            </w:r>
          </w:p>
        </w:tc>
        <w:tc>
          <w:tcPr>
            <w:tcW w:w="2700" w:type="dxa"/>
            <w:tcMar>
              <w:top w:w="115" w:type="dxa"/>
              <w:left w:w="115" w:type="dxa"/>
              <w:bottom w:w="115" w:type="dxa"/>
              <w:right w:w="115" w:type="dxa"/>
            </w:tcMar>
          </w:tcPr>
          <w:p w:rsidR="008333F2" w:rsidP="00E76101" w:rsidRDefault="000F4547" w14:paraId="0725D333" wp14:textId="77777777">
            <w:pPr>
              <w:jc w:val="center"/>
            </w:pPr>
            <w:r>
              <w:t>Does not apply to PV system</w:t>
            </w:r>
          </w:p>
        </w:tc>
        <w:tc>
          <w:tcPr>
            <w:tcW w:w="2220" w:type="dxa"/>
            <w:tcMar>
              <w:top w:w="115" w:type="dxa"/>
              <w:left w:w="115" w:type="dxa"/>
              <w:bottom w:w="115" w:type="dxa"/>
              <w:right w:w="115" w:type="dxa"/>
            </w:tcMar>
          </w:tcPr>
          <w:p w:rsidR="008333F2" w:rsidP="00E76101" w:rsidRDefault="008333F2" w14:paraId="738610EB" wp14:textId="4755C042">
            <w:pPr>
              <w:jc w:val="right"/>
            </w:pPr>
            <w:r w:rsidR="697A04D9">
              <w:rPr/>
              <w:t>$10,732</w:t>
            </w:r>
          </w:p>
        </w:tc>
        <w:tc>
          <w:tcPr>
            <w:tcW w:w="2220" w:type="dxa"/>
            <w:tcMar>
              <w:top w:w="115" w:type="dxa"/>
              <w:left w:w="115" w:type="dxa"/>
              <w:bottom w:w="115" w:type="dxa"/>
              <w:right w:w="115" w:type="dxa"/>
            </w:tcMar>
          </w:tcPr>
          <w:p w:rsidR="008333F2" w:rsidP="00E76101" w:rsidRDefault="008333F2" w14:paraId="637805D2" wp14:textId="7B57A883">
            <w:pPr>
              <w:jc w:val="center"/>
            </w:pPr>
            <w:r w:rsidR="697A04D9">
              <w:rPr/>
              <w:t>17</w:t>
            </w:r>
          </w:p>
        </w:tc>
        <w:tc>
          <w:tcPr>
            <w:tcW w:w="2220" w:type="dxa"/>
            <w:tcMar/>
          </w:tcPr>
          <w:p w:rsidR="008333F2" w:rsidP="00E76101" w:rsidRDefault="008333F2" w14:paraId="463F29E8" wp14:textId="40A6EA85">
            <w:pPr>
              <w:jc w:val="center"/>
            </w:pPr>
            <w:r w:rsidR="697A04D9">
              <w:rPr/>
              <w:t>$913</w:t>
            </w:r>
          </w:p>
        </w:tc>
      </w:tr>
    </w:tbl>
    <w:p xmlns:wp14="http://schemas.microsoft.com/office/word/2010/wordml" w:rsidRPr="00540535" w:rsidR="00770075" w:rsidP="00540535" w:rsidRDefault="00DB2C29" w14:paraId="6F3DBFBD" wp14:textId="77777777">
      <w:r>
        <w:t xml:space="preserve">*Not applicable because the age of the existing equipment suggests that it will need to be replaced soon. </w:t>
      </w:r>
    </w:p>
    <w:sectPr w:rsidRPr="00540535" w:rsidR="00770075" w:rsidSect="00B068B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E2045" w:rsidP="00540535" w:rsidRDefault="00AE2045" w14:paraId="3B7B4B86" wp14:textId="77777777">
      <w:r>
        <w:separator/>
      </w:r>
    </w:p>
  </w:endnote>
  <w:endnote w:type="continuationSeparator" w:id="0">
    <w:p xmlns:wp14="http://schemas.microsoft.com/office/word/2010/wordml" w:rsidR="00AE2045" w:rsidP="00540535" w:rsidRDefault="00AE2045" w14:paraId="3A0FF5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E2045" w:rsidP="00540535" w:rsidRDefault="00AE2045" w14:paraId="5630AD66" wp14:textId="77777777">
      <w:r>
        <w:separator/>
      </w:r>
    </w:p>
  </w:footnote>
  <w:footnote w:type="continuationSeparator" w:id="0">
    <w:p xmlns:wp14="http://schemas.microsoft.com/office/word/2010/wordml" w:rsidR="00AE2045" w:rsidP="00540535" w:rsidRDefault="00AE2045" w14:paraId="61829076" wp14:textId="77777777">
      <w:r>
        <w:continuationSeparator/>
      </w:r>
    </w:p>
  </w:footnote>
  <w:footnote w:id="1">
    <w:p xmlns:wp14="http://schemas.microsoft.com/office/word/2010/wordml" w:rsidR="00540535" w:rsidRDefault="00540535" w14:paraId="13DE4632" wp14:textId="77777777">
      <w:pPr>
        <w:pStyle w:val="FootnoteText"/>
      </w:pPr>
      <w:r w:rsidRPr="00540535">
        <w:rPr>
          <w:rStyle w:val="FootnoteReference"/>
          <w:rFonts w:ascii="Wingdings 2" w:hAnsi="Wingdings 2" w:eastAsia="Wingdings 2" w:cs="Wingdings 2"/>
        </w:rPr>
        <w:t>ß</w:t>
      </w:r>
      <w:r>
        <w:t xml:space="preserve"> Disclaimer: This investment analysis is a simple cost analysis. The time value of money </w:t>
      </w:r>
      <w:r w:rsidR="009D4515">
        <w:t xml:space="preserve">has not been considered; dollar values reflect current dollars.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64474"/>
      <w:docPartObj>
        <w:docPartGallery w:val="Page Numbers (Top of Page)"/>
        <w:docPartUnique/>
      </w:docPartObj>
    </w:sdtPr>
    <w:sdtEndPr>
      <w:rPr>
        <w:color w:val="7F7F7F" w:themeColor="background1" w:themeShade="7F"/>
        <w:spacing w:val="60"/>
      </w:rPr>
    </w:sdtEndPr>
    <w:sdtContent>
      <w:p xmlns:wp14="http://schemas.microsoft.com/office/word/2010/wordml" w:rsidR="00564CDE" w:rsidRDefault="00564CDE" w14:paraId="1ABD000D" wp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Smith Jones Residence Energy Investment Options</w:t>
        </w:r>
      </w:p>
    </w:sdtContent>
  </w:sdt>
  <w:p xmlns:wp14="http://schemas.microsoft.com/office/word/2010/wordml" w:rsidR="00564CDE" w:rsidRDefault="00564CDE" w14:paraId="2BA226A1" wp14:textId="77777777">
    <w:pPr>
      <w:pStyle w:val="Header"/>
    </w:pPr>
  </w:p>
</w:hdr>
</file>

<file path=word/intelligence2.xml><?xml version="1.0" encoding="utf-8"?>
<int2:intelligence xmlns:int2="http://schemas.microsoft.com/office/intelligence/2020/intelligence">
  <int2:observations>
    <int2:textHash int2:hashCode="zN/aofKdk/iUYF" int2:id="CHjUlo01">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7E85"/>
    <w:multiLevelType w:val="hybridMultilevel"/>
    <w:tmpl w:val="466CE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39"/>
    <w:rsid w:val="000101A6"/>
    <w:rsid w:val="00044E6C"/>
    <w:rsid w:val="000F4547"/>
    <w:rsid w:val="001808BC"/>
    <w:rsid w:val="001C3D60"/>
    <w:rsid w:val="00247EA9"/>
    <w:rsid w:val="00343EFA"/>
    <w:rsid w:val="003751DD"/>
    <w:rsid w:val="003B2300"/>
    <w:rsid w:val="003F37EF"/>
    <w:rsid w:val="004419D5"/>
    <w:rsid w:val="004505F9"/>
    <w:rsid w:val="00540535"/>
    <w:rsid w:val="00547491"/>
    <w:rsid w:val="00564CDE"/>
    <w:rsid w:val="005D281E"/>
    <w:rsid w:val="005D6B2A"/>
    <w:rsid w:val="006678F0"/>
    <w:rsid w:val="006A46D2"/>
    <w:rsid w:val="006C943E"/>
    <w:rsid w:val="006F7DD0"/>
    <w:rsid w:val="00770075"/>
    <w:rsid w:val="007C457C"/>
    <w:rsid w:val="007E0339"/>
    <w:rsid w:val="008333F2"/>
    <w:rsid w:val="00985028"/>
    <w:rsid w:val="009B6128"/>
    <w:rsid w:val="009D4515"/>
    <w:rsid w:val="009D7650"/>
    <w:rsid w:val="00A53ADC"/>
    <w:rsid w:val="00A742A3"/>
    <w:rsid w:val="00AE2045"/>
    <w:rsid w:val="00B068BD"/>
    <w:rsid w:val="00BE18A4"/>
    <w:rsid w:val="00C45C40"/>
    <w:rsid w:val="00C52FBD"/>
    <w:rsid w:val="00C57C79"/>
    <w:rsid w:val="00C6357B"/>
    <w:rsid w:val="00C80A48"/>
    <w:rsid w:val="00CD0420"/>
    <w:rsid w:val="00CD38AC"/>
    <w:rsid w:val="00CE6F88"/>
    <w:rsid w:val="00D039E9"/>
    <w:rsid w:val="00D07D07"/>
    <w:rsid w:val="00D21FF8"/>
    <w:rsid w:val="00DB2C29"/>
    <w:rsid w:val="00DE185A"/>
    <w:rsid w:val="00E67831"/>
    <w:rsid w:val="00E97A5B"/>
    <w:rsid w:val="00EA1A96"/>
    <w:rsid w:val="00ED59A7"/>
    <w:rsid w:val="00F51EED"/>
    <w:rsid w:val="00F6750B"/>
    <w:rsid w:val="00FB56DE"/>
    <w:rsid w:val="014A1D93"/>
    <w:rsid w:val="0168B97E"/>
    <w:rsid w:val="01B76808"/>
    <w:rsid w:val="029E8E0B"/>
    <w:rsid w:val="02B4967B"/>
    <w:rsid w:val="02ED7B41"/>
    <w:rsid w:val="0330B69E"/>
    <w:rsid w:val="0361E79F"/>
    <w:rsid w:val="03A6090D"/>
    <w:rsid w:val="0507E3C6"/>
    <w:rsid w:val="05173BCE"/>
    <w:rsid w:val="07599ABC"/>
    <w:rsid w:val="07BAEA41"/>
    <w:rsid w:val="08541E0E"/>
    <w:rsid w:val="0859E00E"/>
    <w:rsid w:val="0871C574"/>
    <w:rsid w:val="08E51168"/>
    <w:rsid w:val="090085D2"/>
    <w:rsid w:val="09F05990"/>
    <w:rsid w:val="0A94A423"/>
    <w:rsid w:val="0AC61538"/>
    <w:rsid w:val="0B7F5D18"/>
    <w:rsid w:val="0B8C9104"/>
    <w:rsid w:val="0C1309FC"/>
    <w:rsid w:val="0C98DFFC"/>
    <w:rsid w:val="0E259890"/>
    <w:rsid w:val="0E36EDE9"/>
    <w:rsid w:val="0F4D9BCB"/>
    <w:rsid w:val="100878F4"/>
    <w:rsid w:val="106CF016"/>
    <w:rsid w:val="10B33DFD"/>
    <w:rsid w:val="1154D475"/>
    <w:rsid w:val="11881CE1"/>
    <w:rsid w:val="11D77601"/>
    <w:rsid w:val="141FAB30"/>
    <w:rsid w:val="14ACF763"/>
    <w:rsid w:val="1531ABD1"/>
    <w:rsid w:val="15D7AC1F"/>
    <w:rsid w:val="15D7B2F4"/>
    <w:rsid w:val="19DA15D7"/>
    <w:rsid w:val="1A268E1E"/>
    <w:rsid w:val="1ACEDC7D"/>
    <w:rsid w:val="1C60AB1B"/>
    <w:rsid w:val="1CE83A6A"/>
    <w:rsid w:val="1DEB96E5"/>
    <w:rsid w:val="1E07D0E1"/>
    <w:rsid w:val="1E42F653"/>
    <w:rsid w:val="1EB8BE78"/>
    <w:rsid w:val="1ECA1F87"/>
    <w:rsid w:val="1F214A28"/>
    <w:rsid w:val="1F9646C1"/>
    <w:rsid w:val="23FEC560"/>
    <w:rsid w:val="243A2B41"/>
    <w:rsid w:val="25515D1E"/>
    <w:rsid w:val="2616A938"/>
    <w:rsid w:val="2668154A"/>
    <w:rsid w:val="269756CC"/>
    <w:rsid w:val="277C8487"/>
    <w:rsid w:val="27A56644"/>
    <w:rsid w:val="2886717A"/>
    <w:rsid w:val="2B982B75"/>
    <w:rsid w:val="2D0CE77B"/>
    <w:rsid w:val="2F01F97E"/>
    <w:rsid w:val="2FEFE358"/>
    <w:rsid w:val="30FBE6C0"/>
    <w:rsid w:val="31EA091C"/>
    <w:rsid w:val="325D52B9"/>
    <w:rsid w:val="330454F9"/>
    <w:rsid w:val="3499C6C9"/>
    <w:rsid w:val="34FBD8A2"/>
    <w:rsid w:val="3543475E"/>
    <w:rsid w:val="3860228D"/>
    <w:rsid w:val="3899C0EA"/>
    <w:rsid w:val="39968706"/>
    <w:rsid w:val="39FE2AB2"/>
    <w:rsid w:val="3A448879"/>
    <w:rsid w:val="3AA1A3B4"/>
    <w:rsid w:val="3BFD11BC"/>
    <w:rsid w:val="3CCB2EB9"/>
    <w:rsid w:val="3D6C5B8A"/>
    <w:rsid w:val="3D9EBCA4"/>
    <w:rsid w:val="3DA5493B"/>
    <w:rsid w:val="3EB6D613"/>
    <w:rsid w:val="4051ED72"/>
    <w:rsid w:val="40648430"/>
    <w:rsid w:val="40A301FD"/>
    <w:rsid w:val="41D716DF"/>
    <w:rsid w:val="42B8B591"/>
    <w:rsid w:val="435616FC"/>
    <w:rsid w:val="43B1B617"/>
    <w:rsid w:val="43BE3EC7"/>
    <w:rsid w:val="4735FA5B"/>
    <w:rsid w:val="48EB52D7"/>
    <w:rsid w:val="4A781277"/>
    <w:rsid w:val="4BDE2CEC"/>
    <w:rsid w:val="4CED394D"/>
    <w:rsid w:val="4D2A07DA"/>
    <w:rsid w:val="4F4B8CE4"/>
    <w:rsid w:val="502A6AFF"/>
    <w:rsid w:val="5044F42B"/>
    <w:rsid w:val="50C34915"/>
    <w:rsid w:val="52F106DE"/>
    <w:rsid w:val="5375647E"/>
    <w:rsid w:val="5397252E"/>
    <w:rsid w:val="56BBC0EA"/>
    <w:rsid w:val="5714A4C5"/>
    <w:rsid w:val="57223019"/>
    <w:rsid w:val="57B5418C"/>
    <w:rsid w:val="582F071D"/>
    <w:rsid w:val="585DE3FE"/>
    <w:rsid w:val="5925D739"/>
    <w:rsid w:val="5BE25332"/>
    <w:rsid w:val="5C5D1BA1"/>
    <w:rsid w:val="5CC71021"/>
    <w:rsid w:val="5CFE9112"/>
    <w:rsid w:val="5DE3F707"/>
    <w:rsid w:val="5E11E919"/>
    <w:rsid w:val="5E7A16F0"/>
    <w:rsid w:val="5FBA5141"/>
    <w:rsid w:val="5FFDA9EE"/>
    <w:rsid w:val="600E46D7"/>
    <w:rsid w:val="611888C9"/>
    <w:rsid w:val="612B1A64"/>
    <w:rsid w:val="619DD37F"/>
    <w:rsid w:val="62031055"/>
    <w:rsid w:val="62461A8C"/>
    <w:rsid w:val="625AC550"/>
    <w:rsid w:val="62A4C82D"/>
    <w:rsid w:val="63EAD22C"/>
    <w:rsid w:val="63FE2994"/>
    <w:rsid w:val="64323393"/>
    <w:rsid w:val="65B8E309"/>
    <w:rsid w:val="65D889F8"/>
    <w:rsid w:val="663B0A6B"/>
    <w:rsid w:val="6654CA26"/>
    <w:rsid w:val="669AFFAA"/>
    <w:rsid w:val="66EB6F24"/>
    <w:rsid w:val="6741780F"/>
    <w:rsid w:val="6772C93E"/>
    <w:rsid w:val="67A859DD"/>
    <w:rsid w:val="67DA5379"/>
    <w:rsid w:val="67F84EF6"/>
    <w:rsid w:val="68FAF444"/>
    <w:rsid w:val="697A04D9"/>
    <w:rsid w:val="69D6EFF2"/>
    <w:rsid w:val="6A4B1391"/>
    <w:rsid w:val="6A5FEF47"/>
    <w:rsid w:val="6C708A3D"/>
    <w:rsid w:val="6CD101DE"/>
    <w:rsid w:val="6DDB3651"/>
    <w:rsid w:val="6EE1221E"/>
    <w:rsid w:val="70FA85A9"/>
    <w:rsid w:val="71E126A1"/>
    <w:rsid w:val="732F7ED2"/>
    <w:rsid w:val="73848369"/>
    <w:rsid w:val="73BA7499"/>
    <w:rsid w:val="7601251D"/>
    <w:rsid w:val="77A3AAAC"/>
    <w:rsid w:val="790E392A"/>
    <w:rsid w:val="7CDBAEC4"/>
    <w:rsid w:val="7D474B5B"/>
    <w:rsid w:val="7EFE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78AB"/>
  <w15:chartTrackingRefBased/>
  <w15:docId w15:val="{6324D580-2B60-4DFF-B36C-A5A69F6D8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40535"/>
    <w:pPr>
      <w:spacing w:after="0" w:line="240" w:lineRule="auto"/>
    </w:pPr>
    <w:rPr>
      <w:rFonts w:ascii="Calibri" w:hAnsi="Calibri"/>
      <w:kern w:val="2"/>
      <w:sz w:val="20"/>
      <w:szCs w:val="24"/>
      <w14:ligatures w14:val="standardContextual"/>
    </w:rPr>
  </w:style>
  <w:style w:type="paragraph" w:styleId="Heading1">
    <w:name w:val="heading 1"/>
    <w:basedOn w:val="Normal"/>
    <w:next w:val="Normal"/>
    <w:link w:val="Heading1Char"/>
    <w:uiPriority w:val="9"/>
    <w:qFormat/>
    <w:rsid w:val="00D21FF8"/>
    <w:pPr>
      <w:keepNext/>
      <w:keepLines/>
      <w:spacing w:after="120"/>
      <w:outlineLvl w:val="0"/>
    </w:pPr>
    <w:rPr>
      <w:rFonts w:asciiTheme="majorHAnsi" w:hAnsiTheme="majorHAnsi"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1FF8"/>
    <w:rPr>
      <w:rFonts w:asciiTheme="majorHAnsi" w:hAnsiTheme="majorHAnsi" w:eastAsiaTheme="majorEastAsia" w:cstheme="majorBidi"/>
      <w:kern w:val="2"/>
      <w:sz w:val="36"/>
      <w:szCs w:val="32"/>
      <w14:ligatures w14:val="standardContextual"/>
    </w:rPr>
  </w:style>
  <w:style w:type="paragraph" w:styleId="FootnoteText">
    <w:name w:val="footnote text"/>
    <w:basedOn w:val="Normal"/>
    <w:link w:val="FootnoteTextChar"/>
    <w:uiPriority w:val="99"/>
    <w:semiHidden/>
    <w:unhideWhenUsed/>
    <w:rsid w:val="00540535"/>
    <w:rPr>
      <w:szCs w:val="20"/>
    </w:rPr>
  </w:style>
  <w:style w:type="character" w:styleId="FootnoteTextChar" w:customStyle="1">
    <w:name w:val="Footnote Text Char"/>
    <w:basedOn w:val="DefaultParagraphFont"/>
    <w:link w:val="FootnoteText"/>
    <w:uiPriority w:val="99"/>
    <w:semiHidden/>
    <w:rsid w:val="00540535"/>
    <w:rPr>
      <w:rFonts w:ascii="Calibri" w:hAnsi="Calibri"/>
      <w:kern w:val="2"/>
      <w:sz w:val="20"/>
      <w:szCs w:val="20"/>
      <w14:ligatures w14:val="standardContextual"/>
    </w:rPr>
  </w:style>
  <w:style w:type="character" w:styleId="FootnoteReference">
    <w:name w:val="footnote reference"/>
    <w:basedOn w:val="DefaultParagraphFont"/>
    <w:uiPriority w:val="99"/>
    <w:semiHidden/>
    <w:unhideWhenUsed/>
    <w:rsid w:val="00540535"/>
    <w:rPr>
      <w:vertAlign w:val="superscript"/>
    </w:rPr>
  </w:style>
  <w:style w:type="table" w:styleId="TableGrid">
    <w:name w:val="Table Grid"/>
    <w:basedOn w:val="TableNormal"/>
    <w:uiPriority w:val="39"/>
    <w:rsid w:val="009B61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64CDE"/>
    <w:pPr>
      <w:tabs>
        <w:tab w:val="center" w:pos="4680"/>
        <w:tab w:val="right" w:pos="9360"/>
      </w:tabs>
    </w:pPr>
  </w:style>
  <w:style w:type="character" w:styleId="HeaderChar" w:customStyle="1">
    <w:name w:val="Header Char"/>
    <w:basedOn w:val="DefaultParagraphFont"/>
    <w:link w:val="Header"/>
    <w:uiPriority w:val="99"/>
    <w:rsid w:val="00564CDE"/>
    <w:rPr>
      <w:rFonts w:ascii="Calibri" w:hAnsi="Calibri"/>
      <w:kern w:val="2"/>
      <w:sz w:val="20"/>
      <w:szCs w:val="24"/>
      <w14:ligatures w14:val="standardContextual"/>
    </w:rPr>
  </w:style>
  <w:style w:type="paragraph" w:styleId="Footer">
    <w:name w:val="footer"/>
    <w:basedOn w:val="Normal"/>
    <w:link w:val="FooterChar"/>
    <w:uiPriority w:val="99"/>
    <w:unhideWhenUsed/>
    <w:rsid w:val="00564CDE"/>
    <w:pPr>
      <w:tabs>
        <w:tab w:val="center" w:pos="4680"/>
        <w:tab w:val="right" w:pos="9360"/>
      </w:tabs>
    </w:pPr>
  </w:style>
  <w:style w:type="character" w:styleId="FooterChar" w:customStyle="1">
    <w:name w:val="Footer Char"/>
    <w:basedOn w:val="DefaultParagraphFont"/>
    <w:link w:val="Footer"/>
    <w:uiPriority w:val="99"/>
    <w:rsid w:val="00564CDE"/>
    <w:rPr>
      <w:rFonts w:ascii="Calibri" w:hAnsi="Calibri"/>
      <w:kern w:val="2"/>
      <w:sz w:val="20"/>
      <w:szCs w:val="24"/>
      <w14:ligatures w14:val="standardContextual"/>
    </w:rPr>
  </w:style>
  <w:style w:type="paragraph" w:styleId="Title">
    <w:name w:val="Title"/>
    <w:basedOn w:val="Normal"/>
    <w:next w:val="Normal"/>
    <w:link w:val="TitleChar"/>
    <w:uiPriority w:val="10"/>
    <w:qFormat/>
    <w:rsid w:val="003F37E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37EF"/>
    <w:rPr>
      <w:rFonts w:asciiTheme="majorHAnsi" w:hAnsiTheme="majorHAnsi" w:eastAsiaTheme="majorEastAsia" w:cstheme="majorBidi"/>
      <w:spacing w:val="-10"/>
      <w:kern w:val="28"/>
      <w:sz w:val="56"/>
      <w:szCs w:val="56"/>
      <w14:ligatures w14:val="standardContextual"/>
    </w:rPr>
  </w:style>
  <w:style w:type="paragraph" w:styleId="ListParagraph">
    <w:name w:val="List Paragraph"/>
    <w:basedOn w:val="Normal"/>
    <w:uiPriority w:val="34"/>
    <w:qFormat/>
    <w:rsid w:val="008333F2"/>
    <w:pPr>
      <w:ind w:left="720"/>
      <w:contextualSpacing/>
    </w:pPr>
    <w:rPr>
      <w:rFonts w:asciiTheme="minorHAnsi" w:hAnsiTheme="min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e3e960fef6d441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F5567-4671-407E-B659-DF1B8E5C74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James Madison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Papadakis, Maria - papadamc</dc:creator>
  <keywords/>
  <dc:description/>
  <lastModifiedBy>Chizmadia, Alex Powell - chizmaap</lastModifiedBy>
  <revision>42</revision>
  <dcterms:created xsi:type="dcterms:W3CDTF">2025-05-09T21:42:00.0000000Z</dcterms:created>
  <dcterms:modified xsi:type="dcterms:W3CDTF">2025-05-14T18:03:26.4360347Z</dcterms:modified>
</coreProperties>
</file>