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0"/>
        <w:jc w:val="center"/>
      </w:pPr>
      <w:r>
        <w:rPr>
          <w:rFonts w:ascii="Arial" w:hAnsi="Arial"/>
          <w:b/>
          <w:sz w:val="19"/>
        </w:rPr>
        <w:t>Dublin Validation Marking Scheme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50"/>
        <w:gridCol w:w="8050"/>
      </w:tblGrid>
      <w:tr>
        <w:tc>
          <w:tcPr>
            <w:tcW w:type="dxa" w:w="8050"/>
            <w:vAlign w:val="top"/>
            <w:tcMar>
              <w:top w:w="28" w:type="dxa"/>
              <w:start w:w="45" w:type="dxa"/>
              <w:bottom w:w="28" w:type="dxa"/>
              <w:end w:w="45" w:type="dxa"/>
            </w:tcMar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</w:tcPr>
          <w:p>
            <w:pPr>
              <w:spacing w:after="4"/>
            </w:pPr>
            <w:r>
              <w:rPr>
                <w:rFonts w:ascii="Arial" w:hAnsi="Arial"/>
                <w:b/>
                <w:sz w:val="14"/>
              </w:rPr>
              <w:t>Case 1</w:t>
            </w:r>
          </w:p>
          <w:p>
            <w:pPr>
              <w:spacing w:after="0" w:line="197" w:lineRule="auto"/>
              <w:ind w:left="57" w:hanging="57"/>
            </w:pPr>
            <w:r>
              <w:rPr>
                <w:rFonts w:ascii="Arial" w:hAnsi="Arial"/>
                <w:b/>
                <w:sz w:val="11"/>
              </w:rPr>
              <w:t xml:space="preserve">R1C1: </w:t>
            </w:r>
            <w:r>
              <w:rPr>
                <w:rFonts w:ascii="Arial" w:hAnsi="Arial"/>
                <w:sz w:val="11"/>
              </w:rPr>
              <w:t>State that the diagnosis is AML with NPM1 mutation under both WHO5 and ICC criteria.</w:t>
            </w:r>
          </w:p>
          <w:p>
            <w:pPr>
              <w:spacing w:after="0" w:line="197" w:lineRule="auto"/>
              <w:ind w:left="57" w:hanging="57"/>
            </w:pPr>
            <w:r>
              <w:rPr>
                <w:rFonts w:ascii="Arial" w:hAnsi="Arial"/>
                <w:b/>
                <w:sz w:val="11"/>
              </w:rPr>
              <w:t xml:space="preserve">R1C2: </w:t>
            </w:r>
            <w:r>
              <w:rPr>
                <w:rFonts w:ascii="Arial" w:hAnsi="Arial"/>
                <w:sz w:val="11"/>
              </w:rPr>
              <w:t>State that NPM1 is the entity-defining molecular abnormality that refines the diagnosis to AML with NPM1 mutation.</w:t>
            </w:r>
          </w:p>
          <w:p>
            <w:pPr>
              <w:spacing w:after="0" w:line="197" w:lineRule="auto"/>
              <w:ind w:left="57" w:hanging="57"/>
            </w:pPr>
            <w:r>
              <w:rPr>
                <w:rFonts w:ascii="Arial" w:hAnsi="Arial"/>
                <w:b/>
                <w:sz w:val="11"/>
              </w:rPr>
              <w:t xml:space="preserve">R2C1: </w:t>
            </w:r>
            <w:r>
              <w:rPr>
                <w:rFonts w:ascii="Arial" w:hAnsi="Arial"/>
                <w:sz w:val="11"/>
              </w:rPr>
              <w:t>Assign ELN 2022 intermediate risk to this NPM1-mutated AML with FLT3-ITD.</w:t>
            </w:r>
          </w:p>
          <w:p>
            <w:pPr>
              <w:spacing w:after="0" w:line="197" w:lineRule="auto"/>
              <w:ind w:left="57" w:hanging="57"/>
            </w:pPr>
            <w:r>
              <w:rPr>
                <w:rFonts w:ascii="Arial" w:hAnsi="Arial"/>
                <w:b/>
                <w:sz w:val="11"/>
              </w:rPr>
              <w:t xml:space="preserve">R3C1: </w:t>
            </w:r>
            <w:r>
              <w:rPr>
                <w:rFonts w:ascii="Arial" w:hAnsi="Arial"/>
                <w:sz w:val="11"/>
              </w:rPr>
              <w:t>State that FLT3-ITD is therapeutically actionable in AML and supports FLT3-directed therapy in an appropriate treatment setting.</w:t>
            </w:r>
          </w:p>
          <w:p>
            <w:pPr>
              <w:spacing w:after="0" w:line="197" w:lineRule="auto"/>
              <w:ind w:left="57" w:hanging="57"/>
            </w:pPr>
            <w:r>
              <w:rPr>
                <w:rFonts w:ascii="Arial" w:hAnsi="Arial"/>
                <w:b/>
                <w:sz w:val="11"/>
              </w:rPr>
              <w:t xml:space="preserve">R4C1: </w:t>
            </w:r>
            <w:r>
              <w:rPr>
                <w:rFonts w:ascii="Arial" w:hAnsi="Arial"/>
                <w:sz w:val="11"/>
              </w:rPr>
              <w:t>State that NPM1 is the preferred molecular MRD target for this AML.</w:t>
            </w:r>
          </w:p>
          <w:p>
            <w:pPr>
              <w:spacing w:after="0" w:line="197" w:lineRule="auto"/>
              <w:ind w:left="57" w:hanging="57"/>
            </w:pPr>
            <w:r>
              <w:rPr>
                <w:rFonts w:ascii="Arial" w:hAnsi="Arial"/>
                <w:b/>
                <w:sz w:val="11"/>
              </w:rPr>
              <w:t xml:space="preserve">R5C1: </w:t>
            </w:r>
            <w:r>
              <w:rPr>
                <w:rFonts w:ascii="Arial" w:hAnsi="Arial"/>
                <w:sz w:val="11"/>
              </w:rPr>
              <w:t>State that the RUNX1 NM_001754.5:c.496C&gt;T p.(Arg166Ter) variant is suspicious for germline origin.</w:t>
            </w:r>
          </w:p>
          <w:p>
            <w:pPr>
              <w:spacing w:after="0" w:line="197" w:lineRule="auto"/>
              <w:ind w:left="57" w:hanging="57"/>
            </w:pPr>
            <w:r>
              <w:rPr>
                <w:rFonts w:ascii="Arial" w:hAnsi="Arial"/>
                <w:b/>
                <w:sz w:val="11"/>
              </w:rPr>
              <w:t xml:space="preserve">R5C2: </w:t>
            </w:r>
            <w:r>
              <w:rPr>
                <w:rFonts w:ascii="Arial" w:hAnsi="Arial"/>
                <w:sz w:val="11"/>
              </w:rPr>
              <w:t>State that the personal and family history is consistent with RUNX1-associated familial platelet disorder with predisposition to myeloid malignancy.</w:t>
            </w:r>
          </w:p>
        </w:tc>
        <w:tc>
          <w:tcPr>
            <w:tcW w:type="dxa" w:w="8050"/>
            <w:vAlign w:val="top"/>
            <w:tcMar>
              <w:top w:w="28" w:type="dxa"/>
              <w:start w:w="45" w:type="dxa"/>
              <w:bottom w:w="28" w:type="dxa"/>
              <w:end w:w="45" w:type="dxa"/>
            </w:tcMar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</w:tcPr>
          <w:p>
            <w:pPr>
              <w:spacing w:after="4"/>
            </w:pPr>
            <w:r>
              <w:rPr>
                <w:rFonts w:ascii="Arial" w:hAnsi="Arial"/>
                <w:b/>
                <w:sz w:val="14"/>
              </w:rPr>
              <w:t>Case 6</w:t>
            </w:r>
          </w:p>
          <w:p>
            <w:pPr>
              <w:spacing w:after="0" w:line="197" w:lineRule="auto"/>
              <w:ind w:left="57" w:hanging="57"/>
            </w:pPr>
            <w:r>
              <w:rPr>
                <w:rFonts w:ascii="Arial" w:hAnsi="Arial"/>
                <w:b/>
                <w:sz w:val="11"/>
              </w:rPr>
              <w:t xml:space="preserve">R1C1: </w:t>
            </w:r>
            <w:r>
              <w:rPr>
                <w:rFonts w:ascii="Arial" w:hAnsi="Arial"/>
                <w:sz w:val="11"/>
              </w:rPr>
              <w:t>Retain the established diagnosis of primary myelofibrosis and recognize CALR type-1 as a canonical MPN driver supporting that diagnosis.</w:t>
            </w:r>
          </w:p>
          <w:p>
            <w:pPr>
              <w:spacing w:after="0" w:line="197" w:lineRule="auto"/>
              <w:ind w:left="57" w:hanging="57"/>
            </w:pPr>
            <w:r>
              <w:rPr>
                <w:rFonts w:ascii="Arial" w:hAnsi="Arial"/>
                <w:b/>
                <w:sz w:val="11"/>
              </w:rPr>
              <w:t xml:space="preserve">R2C1: </w:t>
            </w:r>
            <w:r>
              <w:rPr>
                <w:rFonts w:ascii="Arial" w:hAnsi="Arial"/>
                <w:sz w:val="11"/>
              </w:rPr>
              <w:t>State that CALR type-1 or type-1-like status is a favourable molecular variable in the relevant MIPSS70+ framework.</w:t>
            </w:r>
          </w:p>
          <w:p>
            <w:pPr>
              <w:spacing w:after="0" w:line="197" w:lineRule="auto"/>
              <w:ind w:left="57" w:hanging="57"/>
            </w:pPr>
            <w:r>
              <w:rPr>
                <w:rFonts w:ascii="Arial" w:hAnsi="Arial"/>
                <w:b/>
                <w:sz w:val="11"/>
              </w:rPr>
              <w:t xml:space="preserve">R2C2: </w:t>
            </w:r>
            <w:r>
              <w:rPr>
                <w:rFonts w:ascii="Arial" w:hAnsi="Arial"/>
                <w:sz w:val="11"/>
              </w:rPr>
              <w:t>State that ASXL1 mutation is an adverse molecular variable in the relevant MIPSS70+ framework.</w:t>
            </w:r>
          </w:p>
          <w:p>
            <w:pPr>
              <w:spacing w:after="0" w:line="197" w:lineRule="auto"/>
              <w:ind w:left="57" w:hanging="57"/>
            </w:pPr>
            <w:r>
              <w:rPr>
                <w:rFonts w:ascii="Arial" w:hAnsi="Arial"/>
                <w:b/>
                <w:sz w:val="11"/>
              </w:rPr>
              <w:t xml:space="preserve">R2C3: </w:t>
            </w:r>
            <w:r>
              <w:rPr>
                <w:rFonts w:ascii="Arial" w:hAnsi="Arial"/>
                <w:sz w:val="11"/>
              </w:rPr>
              <w:t>State that U2AF1 Q157 mutation is an adverse molecular variable in MIPSS70+ v2.0.</w:t>
            </w:r>
          </w:p>
        </w:tc>
      </w:tr>
      <w:tr>
        <w:tc>
          <w:tcPr>
            <w:tcW w:type="dxa" w:w="8050"/>
            <w:vAlign w:val="top"/>
            <w:tcMar>
              <w:top w:w="28" w:type="dxa"/>
              <w:start w:w="45" w:type="dxa"/>
              <w:bottom w:w="28" w:type="dxa"/>
              <w:end w:w="45" w:type="dxa"/>
            </w:tcMar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</w:tcPr>
          <w:p>
            <w:pPr>
              <w:spacing w:after="4"/>
            </w:pPr>
            <w:r>
              <w:rPr>
                <w:rFonts w:ascii="Arial" w:hAnsi="Arial"/>
                <w:b/>
                <w:sz w:val="14"/>
              </w:rPr>
              <w:t>Case 2</w:t>
            </w:r>
          </w:p>
          <w:p>
            <w:pPr>
              <w:spacing w:after="0" w:line="197" w:lineRule="auto"/>
              <w:ind w:left="57" w:hanging="57"/>
            </w:pPr>
            <w:r>
              <w:rPr>
                <w:rFonts w:ascii="Arial" w:hAnsi="Arial"/>
                <w:b/>
                <w:sz w:val="11"/>
              </w:rPr>
              <w:t xml:space="preserve">R1C1: </w:t>
            </w:r>
            <w:r>
              <w:rPr>
                <w:rFonts w:ascii="Arial" w:hAnsi="Arial"/>
                <w:sz w:val="11"/>
              </w:rPr>
              <w:t>State that the diagnosis is acute promyelocytic leukaemia with PML::RARA under both WHO5 and ICC criteria.</w:t>
            </w:r>
          </w:p>
          <w:p>
            <w:pPr>
              <w:spacing w:after="0" w:line="197" w:lineRule="auto"/>
              <w:ind w:left="57" w:hanging="57"/>
            </w:pPr>
            <w:r>
              <w:rPr>
                <w:rFonts w:ascii="Arial" w:hAnsi="Arial"/>
                <w:b/>
                <w:sz w:val="11"/>
              </w:rPr>
              <w:t xml:space="preserve">R1C2: </w:t>
            </w:r>
            <w:r>
              <w:rPr>
                <w:rFonts w:ascii="Arial" w:hAnsi="Arial"/>
                <w:sz w:val="11"/>
              </w:rPr>
              <w:t>State that PML::RARA is the disease-defining abnormality for the APL.</w:t>
            </w:r>
          </w:p>
          <w:p>
            <w:pPr>
              <w:spacing w:after="0" w:line="197" w:lineRule="auto"/>
              <w:ind w:left="57" w:hanging="57"/>
            </w:pPr>
            <w:r>
              <w:rPr>
                <w:rFonts w:ascii="Arial" w:hAnsi="Arial"/>
                <w:b/>
                <w:sz w:val="11"/>
              </w:rPr>
              <w:t xml:space="preserve">R3C1: </w:t>
            </w:r>
            <w:r>
              <w:rPr>
                <w:rFonts w:ascii="Arial" w:hAnsi="Arial"/>
                <w:sz w:val="11"/>
              </w:rPr>
              <w:t>State that PML::RARA is treatment-defining and that APL requires ATRA-based differentiation therapy, with ATO used as part of standard APL therapy where appropriate.</w:t>
            </w:r>
          </w:p>
          <w:p>
            <w:pPr>
              <w:spacing w:after="0" w:line="197" w:lineRule="auto"/>
              <w:ind w:left="57" w:hanging="57"/>
            </w:pPr>
            <w:r>
              <w:rPr>
                <w:rFonts w:ascii="Arial" w:hAnsi="Arial"/>
                <w:b/>
                <w:sz w:val="11"/>
              </w:rPr>
              <w:t xml:space="preserve">R4C1: </w:t>
            </w:r>
            <w:r>
              <w:rPr>
                <w:rFonts w:ascii="Arial" w:hAnsi="Arial"/>
                <w:sz w:val="11"/>
              </w:rPr>
              <w:t>State that PML::RARA is the preferred disease-specific molecular MRD target for this APL.</w:t>
            </w:r>
          </w:p>
        </w:tc>
        <w:tc>
          <w:tcPr>
            <w:tcW w:type="dxa" w:w="8050"/>
            <w:vAlign w:val="top"/>
            <w:tcMar>
              <w:top w:w="28" w:type="dxa"/>
              <w:start w:w="45" w:type="dxa"/>
              <w:bottom w:w="28" w:type="dxa"/>
              <w:end w:w="45" w:type="dxa"/>
            </w:tcMar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</w:tcPr>
          <w:p>
            <w:pPr>
              <w:spacing w:after="4"/>
            </w:pPr>
            <w:r>
              <w:rPr>
                <w:rFonts w:ascii="Arial" w:hAnsi="Arial"/>
                <w:b/>
                <w:sz w:val="14"/>
              </w:rPr>
              <w:t>Case 7</w:t>
            </w:r>
          </w:p>
          <w:p>
            <w:pPr>
              <w:spacing w:after="0" w:line="197" w:lineRule="auto"/>
              <w:ind w:left="57" w:hanging="57"/>
            </w:pPr>
            <w:r>
              <w:rPr>
                <w:rFonts w:ascii="Arial" w:hAnsi="Arial"/>
                <w:b/>
                <w:sz w:val="11"/>
              </w:rPr>
              <w:t xml:space="preserve">R1C1: </w:t>
            </w:r>
            <w:r>
              <w:rPr>
                <w:rFonts w:ascii="Arial" w:hAnsi="Arial"/>
                <w:sz w:val="11"/>
              </w:rPr>
              <w:t>Do not alter the supplied MDS diagnosis or morphology-based subtype on the basis of monosomy 7; monosomy 7 does not itself define a named disease subtype.</w:t>
            </w:r>
          </w:p>
          <w:p>
            <w:pPr>
              <w:spacing w:after="0" w:line="197" w:lineRule="auto"/>
              <w:ind w:left="57" w:hanging="57"/>
            </w:pPr>
            <w:r>
              <w:rPr>
                <w:rFonts w:ascii="Arial" w:hAnsi="Arial"/>
                <w:b/>
                <w:sz w:val="11"/>
              </w:rPr>
              <w:t xml:space="preserve">R2C1: </w:t>
            </w:r>
            <w:r>
              <w:rPr>
                <w:rFonts w:ascii="Arial" w:hAnsi="Arial"/>
                <w:sz w:val="11"/>
              </w:rPr>
              <w:t>State that monosomy 7 contributes adverse cytogenetic risk in IPSS-M.</w:t>
            </w:r>
          </w:p>
          <w:p>
            <w:pPr>
              <w:spacing w:after="0" w:line="197" w:lineRule="auto"/>
              <w:ind w:left="57" w:hanging="57"/>
            </w:pPr>
            <w:r>
              <w:rPr>
                <w:rFonts w:ascii="Arial" w:hAnsi="Arial"/>
                <w:b/>
                <w:sz w:val="11"/>
              </w:rPr>
              <w:t xml:space="preserve">R2C2: </w:t>
            </w:r>
            <w:r>
              <w:rPr>
                <w:rFonts w:ascii="Arial" w:hAnsi="Arial"/>
                <w:sz w:val="11"/>
              </w:rPr>
              <w:t>State that ASXL1 is an adverse molecular variable in IPSS-M.</w:t>
            </w:r>
          </w:p>
          <w:p>
            <w:pPr>
              <w:spacing w:after="0" w:line="197" w:lineRule="auto"/>
              <w:ind w:left="57" w:hanging="57"/>
            </w:pPr>
            <w:r>
              <w:rPr>
                <w:rFonts w:ascii="Arial" w:hAnsi="Arial"/>
                <w:b/>
                <w:sz w:val="11"/>
              </w:rPr>
              <w:t xml:space="preserve">R5C1: </w:t>
            </w:r>
            <w:r>
              <w:rPr>
                <w:rFonts w:ascii="Arial" w:hAnsi="Arial"/>
                <w:sz w:val="11"/>
              </w:rPr>
              <w:t>State that GATA2 NM_032638.5:c.1061C&gt;T p.(Thr354Met) is suspicious for germline origin.</w:t>
            </w:r>
          </w:p>
          <w:p>
            <w:pPr>
              <w:spacing w:after="0" w:line="197" w:lineRule="auto"/>
              <w:ind w:left="57" w:hanging="57"/>
            </w:pPr>
            <w:r>
              <w:rPr>
                <w:rFonts w:ascii="Arial" w:hAnsi="Arial"/>
                <w:b/>
                <w:sz w:val="11"/>
              </w:rPr>
              <w:t xml:space="preserve">R5C2: </w:t>
            </w:r>
            <w:r>
              <w:rPr>
                <w:rFonts w:ascii="Arial" w:hAnsi="Arial"/>
                <w:sz w:val="11"/>
              </w:rPr>
              <w:t>State that the clinical phenotype and family history are consistent with GATA2 deficiency / GATA2-associated germline predisposition to myeloid malignancy.</w:t>
            </w:r>
          </w:p>
        </w:tc>
      </w:tr>
      <w:tr>
        <w:tc>
          <w:tcPr>
            <w:tcW w:type="dxa" w:w="8050"/>
            <w:vAlign w:val="top"/>
            <w:tcMar>
              <w:top w:w="28" w:type="dxa"/>
              <w:start w:w="45" w:type="dxa"/>
              <w:bottom w:w="28" w:type="dxa"/>
              <w:end w:w="45" w:type="dxa"/>
            </w:tcMar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</w:tcPr>
          <w:p>
            <w:pPr>
              <w:spacing w:after="4"/>
            </w:pPr>
            <w:r>
              <w:rPr>
                <w:rFonts w:ascii="Arial" w:hAnsi="Arial"/>
                <w:b/>
                <w:sz w:val="14"/>
              </w:rPr>
              <w:t>Case 3</w:t>
            </w:r>
          </w:p>
          <w:p>
            <w:pPr>
              <w:spacing w:after="0" w:line="197" w:lineRule="auto"/>
              <w:ind w:left="57" w:hanging="57"/>
            </w:pPr>
            <w:r>
              <w:rPr>
                <w:rFonts w:ascii="Arial" w:hAnsi="Arial"/>
                <w:b/>
                <w:sz w:val="11"/>
              </w:rPr>
              <w:t xml:space="preserve">R1C1: </w:t>
            </w:r>
            <w:r>
              <w:rPr>
                <w:rFonts w:ascii="Arial" w:hAnsi="Arial"/>
                <w:sz w:val="11"/>
              </w:rPr>
              <w:t>State that the AML diagnosis is AML with RUNX1::RUNX1T1 under both WHO5 and ICC criteria.</w:t>
            </w:r>
          </w:p>
          <w:p>
            <w:pPr>
              <w:spacing w:after="0" w:line="197" w:lineRule="auto"/>
              <w:ind w:left="57" w:hanging="57"/>
            </w:pPr>
            <w:r>
              <w:rPr>
                <w:rFonts w:ascii="Arial" w:hAnsi="Arial"/>
                <w:b/>
                <w:sz w:val="11"/>
              </w:rPr>
              <w:t xml:space="preserve">R1C2: </w:t>
            </w:r>
            <w:r>
              <w:rPr>
                <w:rFonts w:ascii="Arial" w:hAnsi="Arial"/>
                <w:sz w:val="11"/>
              </w:rPr>
              <w:t>State that RUNX1::RUNX1T1 is the entity-defining abnormality for the AML.</w:t>
            </w:r>
          </w:p>
          <w:p>
            <w:pPr>
              <w:spacing w:after="0" w:line="197" w:lineRule="auto"/>
              <w:ind w:left="57" w:hanging="57"/>
            </w:pPr>
            <w:r>
              <w:rPr>
                <w:rFonts w:ascii="Arial" w:hAnsi="Arial"/>
                <w:b/>
                <w:sz w:val="11"/>
              </w:rPr>
              <w:t xml:space="preserve">R1C3: </w:t>
            </w:r>
            <w:r>
              <w:rPr>
                <w:rFonts w:ascii="Arial" w:hAnsi="Arial"/>
                <w:sz w:val="11"/>
              </w:rPr>
              <w:t>State that the separate aberrant mast-cell infiltrate together with KIT NM_000222.3:c.2447A&gt;T p.(Asp816Val) raises suspicion for concurrent systemic mastocytosis.</w:t>
            </w:r>
          </w:p>
          <w:p>
            <w:pPr>
              <w:spacing w:after="0" w:line="197" w:lineRule="auto"/>
              <w:ind w:left="57" w:hanging="57"/>
            </w:pPr>
            <w:r>
              <w:rPr>
                <w:rFonts w:ascii="Arial" w:hAnsi="Arial"/>
                <w:b/>
                <w:sz w:val="11"/>
              </w:rPr>
              <w:t xml:space="preserve">R2C1: </w:t>
            </w:r>
            <w:r>
              <w:rPr>
                <w:rFonts w:ascii="Arial" w:hAnsi="Arial"/>
                <w:sz w:val="11"/>
              </w:rPr>
              <w:t>Assign ELN 2022 favourable risk to the RUNX1::RUNX1T1 AML.</w:t>
            </w:r>
          </w:p>
          <w:p>
            <w:pPr>
              <w:spacing w:after="0" w:line="197" w:lineRule="auto"/>
              <w:ind w:left="57" w:hanging="57"/>
            </w:pPr>
            <w:r>
              <w:rPr>
                <w:rFonts w:ascii="Arial" w:hAnsi="Arial"/>
                <w:b/>
                <w:sz w:val="11"/>
              </w:rPr>
              <w:t xml:space="preserve">R4C1: </w:t>
            </w:r>
            <w:r>
              <w:rPr>
                <w:rFonts w:ascii="Arial" w:hAnsi="Arial"/>
                <w:sz w:val="11"/>
              </w:rPr>
              <w:t>State that RUNX1::RUNX1T1 is the preferred molecular MRD target for the AML.</w:t>
            </w:r>
          </w:p>
        </w:tc>
        <w:tc>
          <w:tcPr>
            <w:tcW w:type="dxa" w:w="8050"/>
            <w:vAlign w:val="top"/>
            <w:tcMar>
              <w:top w:w="28" w:type="dxa"/>
              <w:start w:w="45" w:type="dxa"/>
              <w:bottom w:w="28" w:type="dxa"/>
              <w:end w:w="45" w:type="dxa"/>
            </w:tcMar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</w:tcPr>
          <w:p>
            <w:pPr>
              <w:spacing w:after="4"/>
            </w:pPr>
            <w:r>
              <w:rPr>
                <w:rFonts w:ascii="Arial" w:hAnsi="Arial"/>
                <w:b/>
                <w:sz w:val="14"/>
              </w:rPr>
              <w:t>Case 8</w:t>
            </w:r>
          </w:p>
          <w:p>
            <w:pPr>
              <w:spacing w:after="0" w:line="197" w:lineRule="auto"/>
              <w:ind w:left="57" w:hanging="57"/>
            </w:pPr>
            <w:r>
              <w:rPr>
                <w:rFonts w:ascii="Arial" w:hAnsi="Arial"/>
                <w:b/>
                <w:sz w:val="11"/>
              </w:rPr>
              <w:t xml:space="preserve">R1C1: </w:t>
            </w:r>
            <w:r>
              <w:rPr>
                <w:rFonts w:ascii="Arial" w:hAnsi="Arial"/>
                <w:sz w:val="11"/>
              </w:rPr>
              <w:t>State that the diagnosis is chronic myelomonocytic leukaemia under both WHO5 and ICC criteria.</w:t>
            </w:r>
          </w:p>
          <w:p>
            <w:pPr>
              <w:spacing w:after="0" w:line="197" w:lineRule="auto"/>
              <w:ind w:left="57" w:hanging="57"/>
            </w:pPr>
            <w:r>
              <w:rPr>
                <w:rFonts w:ascii="Arial" w:hAnsi="Arial"/>
                <w:b/>
                <w:sz w:val="11"/>
              </w:rPr>
              <w:t xml:space="preserve">R1C2: </w:t>
            </w:r>
            <w:r>
              <w:rPr>
                <w:rFonts w:ascii="Arial" w:hAnsi="Arial"/>
                <w:sz w:val="11"/>
              </w:rPr>
              <w:t>State that MYD88 NM_002468.4:c.794T&gt;C p.(Leu265Pro), the IgM paraprotein and the separate clonal lymphoplasmacytic B-cell population raise suspicion for a concurrent lymphoplasmacytic neoplasm / Waldenström macroglobulinaemia.</w:t>
            </w:r>
          </w:p>
          <w:p>
            <w:pPr>
              <w:spacing w:after="0" w:line="197" w:lineRule="auto"/>
              <w:ind w:left="57" w:hanging="57"/>
            </w:pPr>
            <w:r>
              <w:rPr>
                <w:rFonts w:ascii="Arial" w:hAnsi="Arial"/>
                <w:b/>
                <w:sz w:val="11"/>
              </w:rPr>
              <w:t xml:space="preserve">R2C1: </w:t>
            </w:r>
            <w:r>
              <w:rPr>
                <w:rFonts w:ascii="Arial" w:hAnsi="Arial"/>
                <w:sz w:val="11"/>
              </w:rPr>
              <w:t>State that ASXL1 is an adverse molecular variable used by CPSS-Mol.</w:t>
            </w:r>
          </w:p>
          <w:p>
            <w:pPr>
              <w:spacing w:after="0" w:line="197" w:lineRule="auto"/>
              <w:ind w:left="57" w:hanging="57"/>
            </w:pPr>
            <w:r>
              <w:rPr>
                <w:rFonts w:ascii="Arial" w:hAnsi="Arial"/>
                <w:b/>
                <w:sz w:val="11"/>
              </w:rPr>
              <w:t xml:space="preserve">R2C2: </w:t>
            </w:r>
            <w:r>
              <w:rPr>
                <w:rFonts w:ascii="Arial" w:hAnsi="Arial"/>
                <w:sz w:val="11"/>
              </w:rPr>
              <w:t>State that NRAS is an adverse molecular variable used by CPSS-Mol.</w:t>
            </w:r>
          </w:p>
        </w:tc>
      </w:tr>
      <w:tr>
        <w:tc>
          <w:tcPr>
            <w:tcW w:type="dxa" w:w="8050"/>
            <w:vAlign w:val="top"/>
            <w:tcMar>
              <w:top w:w="28" w:type="dxa"/>
              <w:start w:w="45" w:type="dxa"/>
              <w:bottom w:w="28" w:type="dxa"/>
              <w:end w:w="45" w:type="dxa"/>
            </w:tcMar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</w:tcPr>
          <w:p>
            <w:pPr>
              <w:spacing w:after="4"/>
            </w:pPr>
            <w:r>
              <w:rPr>
                <w:rFonts w:ascii="Arial" w:hAnsi="Arial"/>
                <w:b/>
                <w:sz w:val="14"/>
              </w:rPr>
              <w:t>Case 4</w:t>
            </w:r>
          </w:p>
          <w:p>
            <w:pPr>
              <w:spacing w:after="0" w:line="197" w:lineRule="auto"/>
              <w:ind w:left="57" w:hanging="57"/>
            </w:pPr>
            <w:r>
              <w:rPr>
                <w:rFonts w:ascii="Arial" w:hAnsi="Arial"/>
                <w:b/>
                <w:sz w:val="11"/>
              </w:rPr>
              <w:t xml:space="preserve">R1C1: </w:t>
            </w:r>
            <w:r>
              <w:rPr>
                <w:rFonts w:ascii="Arial" w:hAnsi="Arial"/>
                <w:sz w:val="11"/>
              </w:rPr>
              <w:t>Recognize that the TP53 mutation together with del(17p) supports TP53-defined MDS / biallelic or multi-hit TP53 inactivation.</w:t>
            </w:r>
          </w:p>
          <w:p>
            <w:pPr>
              <w:spacing w:after="0" w:line="197" w:lineRule="auto"/>
              <w:ind w:left="57" w:hanging="57"/>
            </w:pPr>
            <w:r>
              <w:rPr>
                <w:rFonts w:ascii="Arial" w:hAnsi="Arial"/>
                <w:b/>
                <w:sz w:val="11"/>
              </w:rPr>
              <w:t xml:space="preserve">R2C1: </w:t>
            </w:r>
            <w:r>
              <w:rPr>
                <w:rFonts w:ascii="Arial" w:hAnsi="Arial"/>
                <w:sz w:val="11"/>
              </w:rPr>
              <w:t>State that biallelic/multi-hit TP53 is an adverse molecular variable in IPSS-M.</w:t>
            </w:r>
          </w:p>
          <w:p>
            <w:pPr>
              <w:spacing w:after="0" w:line="197" w:lineRule="auto"/>
              <w:ind w:left="57" w:hanging="57"/>
            </w:pPr>
            <w:r>
              <w:rPr>
                <w:rFonts w:ascii="Arial" w:hAnsi="Arial"/>
                <w:b/>
                <w:sz w:val="11"/>
              </w:rPr>
              <w:t xml:space="preserve">R5C1: </w:t>
            </w:r>
            <w:r>
              <w:rPr>
                <w:rFonts w:ascii="Arial" w:hAnsi="Arial"/>
                <w:sz w:val="11"/>
              </w:rPr>
              <w:t>State that the DDX41 NM_016222.4:c.415_418dup p.(Asp140delinsGlyTer) variant is suspicious for germline origin.</w:t>
            </w:r>
          </w:p>
          <w:p>
            <w:pPr>
              <w:spacing w:after="0" w:line="197" w:lineRule="auto"/>
              <w:ind w:left="57" w:hanging="57"/>
            </w:pPr>
            <w:r>
              <w:rPr>
                <w:rFonts w:ascii="Arial" w:hAnsi="Arial"/>
                <w:b/>
                <w:sz w:val="11"/>
              </w:rPr>
              <w:t xml:space="preserve">R5C2: </w:t>
            </w:r>
            <w:r>
              <w:rPr>
                <w:rFonts w:ascii="Arial" w:hAnsi="Arial"/>
                <w:sz w:val="11"/>
              </w:rPr>
              <w:t>State that the family history and DDX41 findings are consistent with DDX41-associated germline predisposition to myeloid neoplasms.</w:t>
            </w:r>
          </w:p>
        </w:tc>
        <w:tc>
          <w:tcPr>
            <w:tcW w:type="dxa" w:w="8050"/>
            <w:vAlign w:val="top"/>
            <w:tcMar>
              <w:top w:w="28" w:type="dxa"/>
              <w:start w:w="45" w:type="dxa"/>
              <w:bottom w:w="28" w:type="dxa"/>
              <w:end w:w="45" w:type="dxa"/>
            </w:tcMar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</w:tcPr>
          <w:p>
            <w:pPr>
              <w:spacing w:after="4"/>
            </w:pPr>
            <w:r>
              <w:rPr>
                <w:rFonts w:ascii="Arial" w:hAnsi="Arial"/>
                <w:b/>
                <w:sz w:val="14"/>
              </w:rPr>
              <w:t>Case 9</w:t>
            </w:r>
          </w:p>
          <w:p>
            <w:pPr>
              <w:spacing w:after="0" w:line="197" w:lineRule="auto"/>
              <w:ind w:left="57" w:hanging="57"/>
            </w:pPr>
            <w:r>
              <w:rPr>
                <w:rFonts w:ascii="Arial" w:hAnsi="Arial"/>
                <w:b/>
                <w:sz w:val="11"/>
              </w:rPr>
              <w:t xml:space="preserve">R1C1: </w:t>
            </w:r>
            <w:r>
              <w:rPr>
                <w:rFonts w:ascii="Arial" w:hAnsi="Arial"/>
                <w:sz w:val="11"/>
              </w:rPr>
              <w:t>State that the WHO5 diagnosis is AML, myelodysplasia-related because SRSF2 is a myelodysplasia-related defining mutation.</w:t>
            </w:r>
          </w:p>
          <w:p>
            <w:pPr>
              <w:spacing w:after="0" w:line="197" w:lineRule="auto"/>
              <w:ind w:left="57" w:hanging="57"/>
            </w:pPr>
            <w:r>
              <w:rPr>
                <w:rFonts w:ascii="Arial" w:hAnsi="Arial"/>
                <w:b/>
                <w:sz w:val="11"/>
              </w:rPr>
              <w:t xml:space="preserve">R2C1: </w:t>
            </w:r>
            <w:r>
              <w:rPr>
                <w:rFonts w:ascii="Arial" w:hAnsi="Arial"/>
                <w:sz w:val="11"/>
              </w:rPr>
              <w:t>Assign ELN 2022 adverse risk because SRSF2 is an adverse-risk myelodysplasia-related gene mutation in this setting.</w:t>
            </w:r>
          </w:p>
          <w:p>
            <w:pPr>
              <w:spacing w:after="0" w:line="197" w:lineRule="auto"/>
              <w:ind w:left="57" w:hanging="57"/>
            </w:pPr>
            <w:r>
              <w:rPr>
                <w:rFonts w:ascii="Arial" w:hAnsi="Arial"/>
                <w:b/>
                <w:sz w:val="11"/>
              </w:rPr>
              <w:t xml:space="preserve">R3C1: </w:t>
            </w:r>
            <w:r>
              <w:rPr>
                <w:rFonts w:ascii="Arial" w:hAnsi="Arial"/>
                <w:sz w:val="11"/>
              </w:rPr>
              <w:t>State that IDH2 NM_002168.4:c.515G&gt;A p.(Arg172Lys) is therapeutically actionable and supports IDH2-directed therapy in an appropriate treatment setting.</w:t>
            </w:r>
          </w:p>
          <w:p>
            <w:pPr>
              <w:spacing w:after="0" w:line="197" w:lineRule="auto"/>
              <w:ind w:left="57" w:hanging="57"/>
            </w:pPr>
            <w:r>
              <w:rPr>
                <w:rFonts w:ascii="Arial" w:hAnsi="Arial"/>
                <w:b/>
                <w:sz w:val="11"/>
              </w:rPr>
              <w:t xml:space="preserve">R4C1: </w:t>
            </w:r>
            <w:r>
              <w:rPr>
                <w:rFonts w:ascii="Arial" w:hAnsi="Arial"/>
                <w:sz w:val="11"/>
              </w:rPr>
              <w:t>Do not present IDH2 or SRSF2 as a preferred validated stand-alone molecular MRD marker for this AML.</w:t>
            </w:r>
          </w:p>
        </w:tc>
      </w:tr>
      <w:tr>
        <w:tc>
          <w:tcPr>
            <w:tcW w:type="dxa" w:w="8050"/>
            <w:vAlign w:val="top"/>
            <w:tcMar>
              <w:top w:w="28" w:type="dxa"/>
              <w:start w:w="45" w:type="dxa"/>
              <w:bottom w:w="28" w:type="dxa"/>
              <w:end w:w="45" w:type="dxa"/>
            </w:tcMar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</w:tcPr>
          <w:p>
            <w:pPr>
              <w:spacing w:after="4"/>
            </w:pPr>
            <w:r>
              <w:rPr>
                <w:rFonts w:ascii="Arial" w:hAnsi="Arial"/>
                <w:b/>
                <w:sz w:val="14"/>
              </w:rPr>
              <w:t>Case 5</w:t>
            </w:r>
          </w:p>
          <w:p>
            <w:pPr>
              <w:spacing w:after="0" w:line="197" w:lineRule="auto"/>
              <w:ind w:left="57" w:hanging="57"/>
            </w:pPr>
            <w:r>
              <w:rPr>
                <w:rFonts w:ascii="Arial" w:hAnsi="Arial"/>
                <w:b/>
                <w:sz w:val="11"/>
              </w:rPr>
              <w:t xml:space="preserve">R1C1: </w:t>
            </w:r>
            <w:r>
              <w:rPr>
                <w:rFonts w:ascii="Arial" w:hAnsi="Arial"/>
                <w:sz w:val="11"/>
              </w:rPr>
              <w:t>State that the diagnosis is MDS with low blasts and isolated 5q deletion under WHO5 and MDS with del(5q) under ICC.</w:t>
            </w:r>
          </w:p>
          <w:p>
            <w:pPr>
              <w:spacing w:after="0" w:line="197" w:lineRule="auto"/>
              <w:ind w:left="57" w:hanging="57"/>
            </w:pPr>
            <w:r>
              <w:rPr>
                <w:rFonts w:ascii="Arial" w:hAnsi="Arial"/>
                <w:b/>
                <w:sz w:val="11"/>
              </w:rPr>
              <w:t xml:space="preserve">R1C2: </w:t>
            </w:r>
            <w:r>
              <w:rPr>
                <w:rFonts w:ascii="Arial" w:hAnsi="Arial"/>
                <w:sz w:val="11"/>
              </w:rPr>
              <w:t>State that the separate characteristic B-cell population together with BRAF NM_004333.6:c.1799T&gt;A p.(Val600Glu) raises suspicion for concurrent classic hairy-cell leukaemia.</w:t>
            </w:r>
          </w:p>
          <w:p>
            <w:pPr>
              <w:spacing w:after="0" w:line="197" w:lineRule="auto"/>
              <w:ind w:left="57" w:hanging="57"/>
            </w:pPr>
            <w:r>
              <w:rPr>
                <w:rFonts w:ascii="Arial" w:hAnsi="Arial"/>
                <w:b/>
                <w:sz w:val="11"/>
              </w:rPr>
              <w:t xml:space="preserve">R2C1: </w:t>
            </w:r>
            <w:r>
              <w:rPr>
                <w:rFonts w:ascii="Arial" w:hAnsi="Arial"/>
                <w:sz w:val="11"/>
              </w:rPr>
              <w:t>Recognize SF3B1^5q as an adverse main-effect prognostic variable in IPSS-M, distinct from the favourable SF3B1α context.</w:t>
            </w:r>
          </w:p>
        </w:tc>
        <w:tc>
          <w:tcPr>
            <w:tcW w:type="dxa" w:w="8050"/>
            <w:vAlign w:val="top"/>
            <w:tcMar>
              <w:top w:w="28" w:type="dxa"/>
              <w:start w:w="45" w:type="dxa"/>
              <w:bottom w:w="28" w:type="dxa"/>
              <w:end w:w="45" w:type="dxa"/>
            </w:tcMar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</w:tcPr>
          <w:p>
            <w:pPr>
              <w:spacing w:after="4"/>
            </w:pPr>
            <w:r>
              <w:rPr>
                <w:rFonts w:ascii="Arial" w:hAnsi="Arial"/>
                <w:b/>
                <w:sz w:val="14"/>
              </w:rPr>
              <w:t>Case 10</w:t>
            </w:r>
          </w:p>
          <w:p>
            <w:pPr>
              <w:spacing w:after="0" w:line="197" w:lineRule="auto"/>
              <w:ind w:left="57" w:hanging="57"/>
            </w:pPr>
            <w:r>
              <w:rPr>
                <w:rFonts w:ascii="Arial" w:hAnsi="Arial"/>
                <w:b/>
                <w:sz w:val="11"/>
              </w:rPr>
              <w:t xml:space="preserve">R1C1: </w:t>
            </w:r>
            <w:r>
              <w:rPr>
                <w:rFonts w:ascii="Arial" w:hAnsi="Arial"/>
                <w:sz w:val="11"/>
              </w:rPr>
              <w:t>Retain the supplied MDS diagnosis; an isolated monoallelic TP53 mutation without evidence of a second TP53 hit does not justify a TP53-defined diagnostic label.</w:t>
            </w:r>
          </w:p>
          <w:p>
            <w:pPr>
              <w:spacing w:after="0" w:line="197" w:lineRule="auto"/>
              <w:ind w:left="57" w:hanging="57"/>
            </w:pPr>
            <w:r>
              <w:rPr>
                <w:rFonts w:ascii="Arial" w:hAnsi="Arial"/>
                <w:b/>
                <w:sz w:val="11"/>
              </w:rPr>
              <w:t xml:space="preserve">R2C1: </w:t>
            </w:r>
            <w:r>
              <w:rPr>
                <w:rFonts w:ascii="Arial" w:hAnsi="Arial"/>
                <w:sz w:val="11"/>
              </w:rPr>
              <w:t>State that the monoallelic TP53 state does not confer the adverse TP53 multi-hit prognostic effect used by IPSS-M.</w:t>
            </w:r>
          </w:p>
        </w:tc>
      </w:tr>
    </w:tbl>
    <w:sectPr w:rsidR="00FC693F" w:rsidRPr="0006063C" w:rsidSect="00034616">
      <w:pgSz w:w="16838" w:h="11906" w:orient="landscape"/>
      <w:pgMar w:top="369" w:right="369" w:bottom="369" w:left="36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02" w:lineRule="auto"/>
    </w:pPr>
    <w:rPr>
      <w:rFonts w:ascii="Arial" w:hAnsi="Arial"/>
      <w:sz w:val="1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