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0"/>
          <w:szCs w:val="20"/>
        </w:rPr>
      </w:pPr>
      <w:r w:rsidDel="00000000" w:rsidR="00000000" w:rsidRPr="00000000">
        <w:rPr>
          <w:b w:val="1"/>
          <w:bCs w:val="1"/>
          <w:color w:val="1f4e79"/>
          <w:sz w:val="48"/>
          <w:szCs w:val="48"/>
          <w:rtl w:val="0"/>
        </w:rPr>
        <w:t xml:space="preserve">Data Cleaning Decisions</w:t>
      </w:r>
      <w:r w:rsidDel="00000000" w:rsidR="00000000" w:rsidRPr="00000000">
        <w:rPr>
          <w:rtl w:val="0"/>
        </w:rPr>
      </w:r>
    </w:p>
    <w:p w:rsidR="00000000" w:rsidDel="00000000" w:rsidP="00000000" w:rsidRDefault="00000000" w:rsidRPr="00000000" w14:paraId="00000002">
      <w:pPr>
        <w:spacing w:after="60" w:line="240" w:lineRule="auto"/>
        <w:jc w:val="center"/>
        <w:rPr>
          <w:sz w:val="20"/>
          <w:szCs w:val="20"/>
        </w:rPr>
      </w:pPr>
      <w:r w:rsidDel="00000000" w:rsidR="00000000" w:rsidRPr="00000000">
        <w:rPr>
          <w:color w:val="666666"/>
          <w:sz w:val="20"/>
          <w:szCs w:val="20"/>
          <w:rtl w:val="0"/>
        </w:rPr>
        <w:t xml:space="preserve">SCM Food Waste Analysis  —  FAO / Our World in Data, 2019</w:t>
      </w:r>
      <w:r w:rsidDel="00000000" w:rsidR="00000000" w:rsidRPr="00000000">
        <w:rPr>
          <w:rtl w:val="0"/>
        </w:rPr>
      </w:r>
    </w:p>
    <w:p w:rsidR="00000000" w:rsidDel="00000000" w:rsidP="00000000" w:rsidRDefault="00000000" w:rsidRPr="00000000" w14:paraId="00000003">
      <w:pPr>
        <w:pBdr>
          <w:bottom w:color="2c5f8a" w:space="6" w:sz="8" w:val="single"/>
        </w:pBdr>
        <w:spacing w:after="280" w:line="240" w:lineRule="auto"/>
        <w:jc w:val="center"/>
        <w:rPr>
          <w:sz w:val="20"/>
          <w:szCs w:val="20"/>
        </w:rPr>
      </w:pPr>
      <w:r w:rsidDel="00000000" w:rsidR="00000000" w:rsidRPr="00000000">
        <w:rPr>
          <w:i w:val="1"/>
          <w:iCs w:val="1"/>
          <w:color w:val="555555"/>
          <w:sz w:val="20"/>
          <w:szCs w:val="20"/>
          <w:rtl w:val="0"/>
        </w:rPr>
        <w:t xml:space="preserve">Problem Statement: “There’s an opportunity to reduce food waste worldwide.”</w:t>
      </w:r>
      <w:r w:rsidDel="00000000" w:rsidR="00000000" w:rsidRPr="00000000">
        <w:rPr>
          <w:rtl w:val="0"/>
        </w:rPr>
      </w:r>
    </w:p>
    <w:p w:rsidR="00000000" w:rsidDel="00000000" w:rsidP="00000000" w:rsidRDefault="00000000" w:rsidRPr="00000000" w14:paraId="00000004">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Introduction</w:t>
      </w:r>
    </w:p>
    <w:p w:rsidR="00000000" w:rsidDel="00000000" w:rsidP="00000000" w:rsidRDefault="00000000" w:rsidRPr="00000000" w14:paraId="00000005">
      <w:pPr>
        <w:spacing w:after="140" w:line="240" w:lineRule="auto"/>
        <w:rPr>
          <w:sz w:val="20"/>
          <w:szCs w:val="20"/>
        </w:rPr>
      </w:pPr>
      <w:r w:rsidDel="00000000" w:rsidR="00000000" w:rsidRPr="00000000">
        <w:rPr>
          <w:sz w:val="20"/>
          <w:szCs w:val="20"/>
          <w:rtl w:val="0"/>
        </w:rPr>
        <w:t xml:space="preserve">The raw dataset we started with had 233 data rows, but it was far from just a list of countries. It mixed in continental totals, FAO regional groupings, income-level categories, and dozens of micro-states alongside the actual sovereign nations we wanted to analyze. Before running any statistics or building pivot tables, we needed to clean it down to a dataset that actually represents individual countries with comparable, usable data.</w:t>
      </w:r>
    </w:p>
    <w:p w:rsidR="00000000" w:rsidDel="00000000" w:rsidP="00000000" w:rsidRDefault="00000000" w:rsidRPr="00000000" w14:paraId="00000006">
      <w:pPr>
        <w:spacing w:after="140" w:line="240" w:lineRule="auto"/>
        <w:rPr>
          <w:sz w:val="20"/>
          <w:szCs w:val="20"/>
        </w:rPr>
      </w:pPr>
      <w:r w:rsidDel="00000000" w:rsidR="00000000" w:rsidRPr="00000000">
        <w:rPr>
          <w:sz w:val="20"/>
          <w:szCs w:val="20"/>
          <w:rtl w:val="0"/>
        </w:rPr>
        <w:t xml:space="preserve">This document walks through every decision we made — what we removed, what we kept, and why. The final clean dataset has 136 countries (137 rows in Excel, including the header).</w:t>
      </w:r>
    </w:p>
    <w:p w:rsidR="00000000" w:rsidDel="00000000" w:rsidP="00000000" w:rsidRDefault="00000000" w:rsidRPr="00000000" w14:paraId="00000007">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08">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Cleaning at a Glance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80"/>
        <w:gridCol w:w="2280"/>
        <w:tblGridChange w:id="0">
          <w:tblGrid>
            <w:gridCol w:w="5400"/>
            <w:gridCol w:w="168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90.0" w:type="dxa"/>
              <w:left w:w="130.0" w:type="dxa"/>
              <w:bottom w:w="90.0" w:type="dxa"/>
              <w:right w:w="130.0" w:type="dxa"/>
            </w:tcMar>
          </w:tcPr>
          <w:p w:rsidR="00000000" w:rsidDel="00000000" w:rsidP="00000000" w:rsidRDefault="00000000" w:rsidRPr="00000000" w14:paraId="00000009">
            <w:pPr>
              <w:spacing w:line="240" w:lineRule="auto"/>
              <w:jc w:val="cente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90.0" w:type="dxa"/>
              <w:left w:w="130.0" w:type="dxa"/>
              <w:bottom w:w="90.0" w:type="dxa"/>
              <w:right w:w="130.0" w:type="dxa"/>
            </w:tcMar>
          </w:tcPr>
          <w:p w:rsidR="00000000" w:rsidDel="00000000" w:rsidP="00000000" w:rsidRDefault="00000000" w:rsidRPr="00000000" w14:paraId="0000000A">
            <w:pPr>
              <w:spacing w:line="240" w:lineRule="auto"/>
              <w:jc w:val="center"/>
              <w:rPr>
                <w:sz w:val="20"/>
                <w:szCs w:val="20"/>
              </w:rPr>
            </w:pPr>
            <w:r w:rsidDel="00000000" w:rsidR="00000000" w:rsidRPr="00000000">
              <w:rPr>
                <w:b w:val="1"/>
                <w:bCs w:val="1"/>
                <w:color w:val="ffffff"/>
                <w:sz w:val="20"/>
                <w:szCs w:val="20"/>
                <w:rtl w:val="0"/>
              </w:rPr>
              <w:t xml:space="preserve">Rows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90.0" w:type="dxa"/>
              <w:left w:w="130.0" w:type="dxa"/>
              <w:bottom w:w="90.0" w:type="dxa"/>
              <w:right w:w="130.0" w:type="dxa"/>
            </w:tcMar>
          </w:tcPr>
          <w:p w:rsidR="00000000" w:rsidDel="00000000" w:rsidP="00000000" w:rsidRDefault="00000000" w:rsidRPr="00000000" w14:paraId="0000000B">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Rows Remaining</w:t>
            </w:r>
          </w:p>
          <w:p w:rsidR="00000000" w:rsidDel="00000000" w:rsidP="00000000" w:rsidRDefault="00000000" w:rsidRPr="00000000" w14:paraId="0000000C">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(data rows)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Starting raw dataset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233</w:t>
            </w:r>
          </w:p>
        </w:tc>
      </w:tr>
      <w:tr>
        <w:trPr>
          <w:cantSplit w:val="0"/>
          <w:trHeight w:val="424.98046875" w:hRule="atLeast"/>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Removed blank row</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232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Removed non-country entries (regions, blocs, income groups)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46</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186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Removed countries with population below 2 million</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39</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147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Removed countries missing supply chain waste data (cols. V &amp; W)</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132</w:t>
            </w:r>
          </w:p>
        </w:tc>
      </w:tr>
    </w:tbl>
    <w:p w:rsidR="00000000" w:rsidDel="00000000" w:rsidP="00000000" w:rsidRDefault="00000000" w:rsidRPr="00000000" w14:paraId="0000001C">
      <w:pPr>
        <w:spacing w:after="220" w:line="240" w:lineRule="auto"/>
        <w:rPr>
          <w:sz w:val="20"/>
          <w:szCs w:val="20"/>
        </w:rPr>
      </w:pPr>
      <w:r w:rsidDel="00000000" w:rsidR="00000000" w:rsidRPr="00000000">
        <w:rPr>
          <w:rtl w:val="0"/>
        </w:rPr>
      </w:r>
    </w:p>
    <w:p w:rsidR="00000000" w:rsidDel="00000000" w:rsidP="00000000" w:rsidRDefault="00000000" w:rsidRPr="00000000" w14:paraId="0000001D">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1E">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Removing Non-Country Rows (46 removed)</w:t>
      </w:r>
    </w:p>
    <w:p w:rsidR="00000000" w:rsidDel="00000000" w:rsidP="00000000" w:rsidRDefault="00000000" w:rsidRPr="00000000" w14:paraId="0000001F">
      <w:pPr>
        <w:spacing w:after="140" w:line="240" w:lineRule="auto"/>
        <w:rPr>
          <w:sz w:val="20"/>
          <w:szCs w:val="20"/>
        </w:rPr>
      </w:pPr>
      <w:r w:rsidDel="00000000" w:rsidR="00000000" w:rsidRPr="00000000">
        <w:rPr>
          <w:sz w:val="20"/>
          <w:szCs w:val="20"/>
          <w:rtl w:val="0"/>
        </w:rPr>
        <w:t xml:space="preserve">The biggest issue with the raw data was that it lumped country-level observations together with regional and categorical aggregates. Rows like “Africa,” “South America,” and “High-income countries” are not countries — they’re summaries of groups of countries. Keeping them would mean double-counting: the waste figures for “Africa” already include every African nation in the dataset, so including both would inflate any average or total we calculate.</w:t>
      </w:r>
    </w:p>
    <w:p w:rsidR="00000000" w:rsidDel="00000000" w:rsidP="00000000" w:rsidRDefault="00000000" w:rsidRPr="00000000" w14:paraId="00000020">
      <w:pPr>
        <w:spacing w:after="140" w:line="240" w:lineRule="auto"/>
        <w:rPr>
          <w:sz w:val="20"/>
          <w:szCs w:val="20"/>
        </w:rPr>
      </w:pPr>
      <w:r w:rsidDel="00000000" w:rsidR="00000000" w:rsidRPr="00000000">
        <w:rPr>
          <w:sz w:val="20"/>
          <w:szCs w:val="20"/>
          <w:rtl w:val="0"/>
        </w:rPr>
        <w:t xml:space="preserve">We also dropped “China (FAO)” since it’s a duplicate entry for “China” with slightly different population figures, and the standard “China” row was already in the dataset.</w:t>
      </w:r>
    </w:p>
    <w:p w:rsidR="00000000" w:rsidDel="00000000" w:rsidP="00000000" w:rsidRDefault="00000000" w:rsidRPr="00000000" w14:paraId="00000021">
      <w:pPr>
        <w:spacing w:after="140" w:line="240" w:lineRule="auto"/>
        <w:rPr>
          <w:sz w:val="20"/>
          <w:szCs w:val="20"/>
        </w:rPr>
      </w:pPr>
      <w:r w:rsidDel="00000000" w:rsidR="00000000" w:rsidRPr="00000000">
        <w:rPr>
          <w:sz w:val="20"/>
          <w:szCs w:val="20"/>
          <w:rtl w:val="0"/>
        </w:rPr>
        <w:t xml:space="preserve">The full list of what we removed in this step falls into a few natural categories:</w:t>
      </w:r>
    </w:p>
    <w:p w:rsidR="00000000" w:rsidDel="00000000" w:rsidP="00000000" w:rsidRDefault="00000000" w:rsidRPr="00000000" w14:paraId="00000022">
      <w:pPr>
        <w:numPr>
          <w:ilvl w:val="0"/>
          <w:numId w:val="1"/>
        </w:numPr>
        <w:spacing w:after="70" w:line="240" w:lineRule="auto"/>
        <w:ind w:left="720" w:hanging="360"/>
        <w:rPr>
          <w:sz w:val="20"/>
          <w:szCs w:val="20"/>
        </w:rPr>
      </w:pPr>
      <w:r w:rsidDel="00000000" w:rsidR="00000000" w:rsidRPr="00000000">
        <w:rPr>
          <w:sz w:val="20"/>
          <w:szCs w:val="20"/>
          <w:rtl w:val="0"/>
        </w:rPr>
        <w:t xml:space="preserve">Continental and regional aggregates: Africa, Asia, Europe, North America, South America, Oceania, and their FAO-labeled equivalents</w:t>
      </w:r>
    </w:p>
    <w:p w:rsidR="00000000" w:rsidDel="00000000" w:rsidP="00000000" w:rsidRDefault="00000000" w:rsidRPr="00000000" w14:paraId="00000023">
      <w:pPr>
        <w:numPr>
          <w:ilvl w:val="0"/>
          <w:numId w:val="1"/>
        </w:numPr>
        <w:spacing w:after="70" w:line="240" w:lineRule="auto"/>
        <w:ind w:left="720" w:hanging="360"/>
        <w:rPr>
          <w:sz w:val="20"/>
          <w:szCs w:val="20"/>
        </w:rPr>
      </w:pPr>
      <w:r w:rsidDel="00000000" w:rsidR="00000000" w:rsidRPr="00000000">
        <w:rPr>
          <w:sz w:val="20"/>
          <w:szCs w:val="20"/>
          <w:rtl w:val="0"/>
        </w:rPr>
        <w:t xml:space="preserve">Sub-regional FAO groups: Eastern Africa, Western Asia, Southern Europe, South-eastern Asia, etc.</w:t>
      </w:r>
    </w:p>
    <w:p w:rsidR="00000000" w:rsidDel="00000000" w:rsidP="00000000" w:rsidRDefault="00000000" w:rsidRPr="00000000" w14:paraId="00000024">
      <w:pPr>
        <w:numPr>
          <w:ilvl w:val="0"/>
          <w:numId w:val="1"/>
        </w:numPr>
        <w:spacing w:after="70" w:line="240" w:lineRule="auto"/>
        <w:ind w:left="720" w:hanging="360"/>
        <w:rPr>
          <w:sz w:val="20"/>
          <w:szCs w:val="20"/>
        </w:rPr>
      </w:pPr>
      <w:r w:rsidDel="00000000" w:rsidR="00000000" w:rsidRPr="00000000">
        <w:rPr>
          <w:sz w:val="20"/>
          <w:szCs w:val="20"/>
          <w:rtl w:val="0"/>
        </w:rPr>
        <w:t xml:space="preserve">Economic/development classification groups: High-income countries, Least Developed Countries, Land Locked Developing Countries, Low Income Food Deficit Countries, Net Food Importing Developing Countries, Small Island Developing States</w:t>
      </w:r>
    </w:p>
    <w:p w:rsidR="00000000" w:rsidDel="00000000" w:rsidP="00000000" w:rsidRDefault="00000000" w:rsidRPr="00000000" w14:paraId="00000025">
      <w:pPr>
        <w:numPr>
          <w:ilvl w:val="0"/>
          <w:numId w:val="1"/>
        </w:numPr>
        <w:spacing w:after="70" w:line="240" w:lineRule="auto"/>
        <w:ind w:left="720" w:hanging="360"/>
        <w:rPr>
          <w:sz w:val="20"/>
          <w:szCs w:val="20"/>
        </w:rPr>
      </w:pPr>
      <w:r w:rsidDel="00000000" w:rsidR="00000000" w:rsidRPr="00000000">
        <w:rPr>
          <w:sz w:val="20"/>
          <w:szCs w:val="20"/>
          <w:rtl w:val="0"/>
        </w:rPr>
        <w:t xml:space="preserve">Political blocs: European Union (27) and its FAO duplicate</w:t>
      </w:r>
    </w:p>
    <w:p w:rsidR="00000000" w:rsidDel="00000000" w:rsidP="00000000" w:rsidRDefault="00000000" w:rsidRPr="00000000" w14:paraId="00000026">
      <w:pPr>
        <w:numPr>
          <w:ilvl w:val="0"/>
          <w:numId w:val="1"/>
        </w:numPr>
        <w:spacing w:after="70" w:line="240" w:lineRule="auto"/>
        <w:ind w:left="720" w:hanging="360"/>
        <w:rPr>
          <w:sz w:val="20"/>
          <w:szCs w:val="20"/>
        </w:rPr>
      </w:pPr>
      <w:r w:rsidDel="00000000" w:rsidR="00000000" w:rsidRPr="00000000">
        <w:rPr>
          <w:sz w:val="20"/>
          <w:szCs w:val="20"/>
          <w:rtl w:val="0"/>
        </w:rPr>
        <w:t xml:space="preserve">Sub-regional geographic groups: Melanesia, Polynesia, Micronesia (FAO)</w:t>
      </w:r>
    </w:p>
    <w:p w:rsidR="00000000" w:rsidDel="00000000" w:rsidP="00000000" w:rsidRDefault="00000000" w:rsidRPr="00000000" w14:paraId="00000027">
      <w:pPr>
        <w:numPr>
          <w:ilvl w:val="0"/>
          <w:numId w:val="1"/>
        </w:numPr>
        <w:spacing w:after="70" w:line="240" w:lineRule="auto"/>
        <w:ind w:left="720" w:hanging="360"/>
        <w:rPr>
          <w:sz w:val="20"/>
          <w:szCs w:val="20"/>
        </w:rPr>
      </w:pPr>
      <w:r w:rsidDel="00000000" w:rsidR="00000000" w:rsidRPr="00000000">
        <w:rPr>
          <w:sz w:val="20"/>
          <w:szCs w:val="20"/>
          <w:rtl w:val="0"/>
        </w:rPr>
        <w:t xml:space="preserve">Duplicate or non-independent entry: China (FAO), Micronesia (country)</w:t>
      </w:r>
    </w:p>
    <w:p w:rsidR="00000000" w:rsidDel="00000000" w:rsidP="00000000" w:rsidRDefault="00000000" w:rsidRPr="00000000" w14:paraId="00000028">
      <w:pPr>
        <w:spacing w:after="140" w:line="240" w:lineRule="auto"/>
        <w:rPr>
          <w:sz w:val="20"/>
          <w:szCs w:val="20"/>
        </w:rPr>
      </w:pPr>
      <w:r w:rsidDel="00000000" w:rsidR="00000000" w:rsidRPr="00000000">
        <w:rPr>
          <w:rtl w:val="0"/>
        </w:rPr>
      </w:r>
    </w:p>
    <w:p w:rsidR="00000000" w:rsidDel="00000000" w:rsidP="00000000" w:rsidRDefault="00000000" w:rsidRPr="00000000" w14:paraId="00000029">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2A">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Removing Countries Below 2 Million Population (39 removed)</w:t>
      </w:r>
    </w:p>
    <w:p w:rsidR="00000000" w:rsidDel="00000000" w:rsidP="00000000" w:rsidRDefault="00000000" w:rsidRPr="00000000" w14:paraId="0000002B">
      <w:pPr>
        <w:spacing w:after="140" w:line="240" w:lineRule="auto"/>
        <w:rPr>
          <w:sz w:val="20"/>
          <w:szCs w:val="20"/>
        </w:rPr>
      </w:pPr>
      <w:r w:rsidDel="00000000" w:rsidR="00000000" w:rsidRPr="00000000">
        <w:rPr>
          <w:sz w:val="20"/>
          <w:szCs w:val="20"/>
          <w:rtl w:val="0"/>
        </w:rPr>
        <w:t xml:space="preserve">After pulling out the non-country rows, we were left with 186 sovereign nations and territories. From there, we applied a population cutoff of 2 million people. This decision came down to three reasons.</w:t>
      </w:r>
    </w:p>
    <w:p w:rsidR="00000000" w:rsidDel="00000000" w:rsidP="00000000" w:rsidRDefault="00000000" w:rsidRPr="00000000" w14:paraId="0000002C">
      <w:pPr>
        <w:spacing w:after="140" w:line="240" w:lineRule="auto"/>
        <w:rPr>
          <w:sz w:val="20"/>
          <w:szCs w:val="20"/>
        </w:rPr>
      </w:pPr>
      <w:r w:rsidDel="00000000" w:rsidR="00000000" w:rsidRPr="00000000">
        <w:rPr>
          <w:b w:val="1"/>
          <w:bCs w:val="1"/>
          <w:sz w:val="20"/>
          <w:szCs w:val="20"/>
          <w:rtl w:val="0"/>
        </w:rPr>
        <w:t xml:space="preserve">First, statistical noise. </w:t>
      </w:r>
      <w:r w:rsidDel="00000000" w:rsidR="00000000" w:rsidRPr="00000000">
        <w:rPr>
          <w:sz w:val="20"/>
          <w:szCs w:val="20"/>
          <w:rtl w:val="0"/>
        </w:rPr>
        <w:t xml:space="preserve">Micro-states often show extreme per-capita values that don’t reflect any real-world insight — they’re just a mathematical artifact of dividing a small absolute number by a tiny population. A country with 50,000 people and moderate food imports will show per-capita metrics that look wildly different from any other country, but it tells us nothing useful about global food waste patterns.</w:t>
      </w:r>
    </w:p>
    <w:p w:rsidR="00000000" w:rsidDel="00000000" w:rsidP="00000000" w:rsidRDefault="00000000" w:rsidRPr="00000000" w14:paraId="0000002D">
      <w:pPr>
        <w:spacing w:after="140" w:line="240" w:lineRule="auto"/>
        <w:rPr>
          <w:sz w:val="20"/>
          <w:szCs w:val="20"/>
        </w:rPr>
      </w:pPr>
      <w:r w:rsidDel="00000000" w:rsidR="00000000" w:rsidRPr="00000000">
        <w:rPr>
          <w:b w:val="1"/>
          <w:bCs w:val="1"/>
          <w:sz w:val="20"/>
          <w:szCs w:val="20"/>
          <w:rtl w:val="0"/>
        </w:rPr>
        <w:t xml:space="preserve">Second, irrelevance at scale. </w:t>
      </w:r>
      <w:r w:rsidDel="00000000" w:rsidR="00000000" w:rsidRPr="00000000">
        <w:rPr>
          <w:sz w:val="20"/>
          <w:szCs w:val="20"/>
          <w:rtl w:val="0"/>
        </w:rPr>
        <w:t xml:space="preserve">The problem statement is about global food waste. A country with under 2 million people accounts for less than 0.03% of the world’s population. Its contribution to total tonnage is negligible, and including it doesn’t improve the analysis.</w:t>
      </w:r>
    </w:p>
    <w:p w:rsidR="00000000" w:rsidDel="00000000" w:rsidP="00000000" w:rsidRDefault="00000000" w:rsidRPr="00000000" w14:paraId="0000002E">
      <w:pPr>
        <w:spacing w:after="140" w:line="240" w:lineRule="auto"/>
        <w:rPr>
          <w:sz w:val="20"/>
          <w:szCs w:val="20"/>
        </w:rPr>
      </w:pPr>
      <w:r w:rsidDel="00000000" w:rsidR="00000000" w:rsidRPr="00000000">
        <w:rPr>
          <w:b w:val="1"/>
          <w:bCs w:val="1"/>
          <w:sz w:val="20"/>
          <w:szCs w:val="20"/>
          <w:rtl w:val="0"/>
        </w:rPr>
        <w:t xml:space="preserve">Third, data quality. </w:t>
      </w:r>
      <w:r w:rsidDel="00000000" w:rsidR="00000000" w:rsidRPr="00000000">
        <w:rPr>
          <w:sz w:val="20"/>
          <w:szCs w:val="20"/>
          <w:rtl w:val="0"/>
        </w:rPr>
        <w:t xml:space="preserve">Smaller nations are more likely to have incomplete or estimated FAO figures. Several of the countries removed here had data gaps across multiple columns, making them unreliable as observations.</w:t>
      </w:r>
    </w:p>
    <w:p w:rsidR="00000000" w:rsidDel="00000000" w:rsidP="00000000" w:rsidRDefault="00000000" w:rsidRPr="00000000" w14:paraId="0000002F">
      <w:pPr>
        <w:spacing w:after="140" w:line="240" w:lineRule="auto"/>
        <w:rPr>
          <w:sz w:val="20"/>
          <w:szCs w:val="20"/>
        </w:rPr>
      </w:pPr>
      <w:r w:rsidDel="00000000" w:rsidR="00000000" w:rsidRPr="00000000">
        <w:rPr>
          <w:sz w:val="20"/>
          <w:szCs w:val="20"/>
          <w:rtl w:val="0"/>
        </w:rPr>
        <w:t xml:space="preserve">The 39 countries removed are listed below (with 2019 population in parentheses):</w:t>
      </w:r>
    </w:p>
    <w:p w:rsidR="00000000" w:rsidDel="00000000" w:rsidP="00000000" w:rsidRDefault="00000000" w:rsidRPr="00000000" w14:paraId="00000030">
      <w:pPr>
        <w:spacing w:after="10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Antigua and Barbuda (97,115)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Bahamas (389,486)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Barbados (287,021)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Belize (390,351)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Bhutan (763,094)</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Cape Verde (549,936)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Comoros (850,891)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Cyprus (1,198,574)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Djibouti (973,557)</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Dominica (71,808)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Estonia (1,325,649)</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Eswatini (1,148,133)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Fiji (889,955)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French Polynesia (279,285)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Grenada (112,002)</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Guinea-Bissau (1,920,917)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Guyana (782,775)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Iceland (339,037)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Kiribati (117,608)</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Latvia (1,906,740)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Luxembourg (615,730)</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Macao (640,446)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Maldives (530,957)</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Malta (440,377)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Mauritius (1,269,670)</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Montenegro (627,988)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Nauru (10,764)</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New Caledonia (282,757)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Saint Kitts and Nevis (52,834)</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Saint Lucia (182,795)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Saint Vincent &amp; the Grenadines (110,593)</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Samoa (197,093)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Sao Tome and Principe (215,048)</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Seychelles (97,741)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Solomon Islands (669,821)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Suriname (581,363)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Timor (1,293,120)</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Trinidad and Tobago (1,394,969)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Vanuatu (299,882)</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58">
            <w:pPr>
              <w:spacing w:line="240" w:lineRule="auto"/>
              <w:rPr>
                <w:sz w:val="20"/>
                <w:szCs w:val="20"/>
              </w:rPr>
            </w:pPr>
            <w:r w:rsidDel="00000000" w:rsidR="00000000" w:rsidRPr="00000000">
              <w:rPr>
                <w:rtl w:val="0"/>
              </w:rPr>
            </w:r>
          </w:p>
        </w:tc>
      </w:tr>
    </w:tbl>
    <w:p w:rsidR="00000000" w:rsidDel="00000000" w:rsidP="00000000" w:rsidRDefault="00000000" w:rsidRPr="00000000" w14:paraId="00000059">
      <w:pPr>
        <w:spacing w:after="200" w:line="240" w:lineRule="auto"/>
        <w:rPr>
          <w:sz w:val="20"/>
          <w:szCs w:val="20"/>
        </w:rPr>
      </w:pPr>
      <w:r w:rsidDel="00000000" w:rsidR="00000000" w:rsidRPr="00000000">
        <w:rPr>
          <w:rtl w:val="0"/>
        </w:rPr>
      </w:r>
    </w:p>
    <w:p w:rsidR="00000000" w:rsidDel="00000000" w:rsidP="00000000" w:rsidRDefault="00000000" w:rsidRPr="00000000" w14:paraId="0000005A">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5B">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Removing Countries Missing Supply Chain Waste Data (15 removed)</w:t>
      </w:r>
    </w:p>
    <w:p w:rsidR="00000000" w:rsidDel="00000000" w:rsidP="00000000" w:rsidRDefault="00000000" w:rsidRPr="00000000" w14:paraId="0000005C">
      <w:pPr>
        <w:spacing w:after="140" w:line="240" w:lineRule="auto"/>
        <w:rPr>
          <w:sz w:val="20"/>
          <w:szCs w:val="20"/>
        </w:rPr>
      </w:pPr>
      <w:r w:rsidDel="00000000" w:rsidR="00000000" w:rsidRPr="00000000">
        <w:rPr>
          <w:sz w:val="20"/>
          <w:szCs w:val="20"/>
          <w:rtl w:val="0"/>
        </w:rPr>
        <w:t xml:space="preserve">Columns V and W are the two variables this entire analysis is built around:</w:t>
      </w:r>
    </w:p>
    <w:p w:rsidR="00000000" w:rsidDel="00000000" w:rsidP="00000000" w:rsidRDefault="00000000" w:rsidRPr="00000000" w14:paraId="0000005D">
      <w:pPr>
        <w:numPr>
          <w:ilvl w:val="0"/>
          <w:numId w:val="1"/>
        </w:numPr>
        <w:spacing w:after="70" w:line="240" w:lineRule="auto"/>
        <w:ind w:left="720" w:hanging="360"/>
        <w:rPr>
          <w:sz w:val="20"/>
          <w:szCs w:val="20"/>
        </w:rPr>
      </w:pPr>
      <w:r w:rsidDel="00000000" w:rsidR="00000000" w:rsidRPr="00000000">
        <w:rPr>
          <w:sz w:val="20"/>
          <w:szCs w:val="20"/>
          <w:rtl w:val="0"/>
        </w:rPr>
        <w:t xml:space="preserve">Column V: Supply chain waste in tons — the absolute amount of food lost</w:t>
      </w:r>
    </w:p>
    <w:p w:rsidR="00000000" w:rsidDel="00000000" w:rsidP="00000000" w:rsidRDefault="00000000" w:rsidRPr="00000000" w14:paraId="0000005E">
      <w:pPr>
        <w:numPr>
          <w:ilvl w:val="0"/>
          <w:numId w:val="1"/>
        </w:numPr>
        <w:spacing w:after="70" w:line="240" w:lineRule="auto"/>
        <w:ind w:left="720" w:hanging="360"/>
        <w:rPr>
          <w:sz w:val="20"/>
          <w:szCs w:val="20"/>
        </w:rPr>
      </w:pPr>
      <w:r w:rsidDel="00000000" w:rsidR="00000000" w:rsidRPr="00000000">
        <w:rPr>
          <w:sz w:val="20"/>
          <w:szCs w:val="20"/>
          <w:rtl w:val="0"/>
        </w:rPr>
        <w:t xml:space="preserve">Column W: Supply chain waste per capita — the normalized figure that lets us compare countries fairly</w:t>
      </w:r>
    </w:p>
    <w:p w:rsidR="00000000" w:rsidDel="00000000" w:rsidP="00000000" w:rsidRDefault="00000000" w:rsidRPr="00000000" w14:paraId="0000005F">
      <w:pPr>
        <w:spacing w:after="140" w:line="240" w:lineRule="auto"/>
        <w:rPr>
          <w:sz w:val="20"/>
          <w:szCs w:val="20"/>
        </w:rPr>
      </w:pPr>
      <w:r w:rsidDel="00000000" w:rsidR="00000000" w:rsidRPr="00000000">
        <w:rPr>
          <w:sz w:val="20"/>
          <w:szCs w:val="20"/>
          <w:rtl w:val="0"/>
        </w:rPr>
        <w:t xml:space="preserve">The Measure phase of the project requires calculating the current-state averages for both, and the target we’re working toward is a 10% reduction in each. A country with no data in these columns can’t participate in the analysis (it would just show up blank in pivot tables). The 15 countries removed for missing V/W data are listed below with their population for reference:</w:t>
      </w:r>
    </w:p>
    <w:p w:rsidR="00000000" w:rsidDel="00000000" w:rsidP="00000000" w:rsidRDefault="00000000" w:rsidRPr="00000000" w14:paraId="00000060">
      <w:pPr>
        <w:spacing w:after="10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Eritrea (3,497,117)</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Finland (5,532,159)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Liberia (4,937,374)</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Mongolia (3,225,166)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Norway (5,378,859)</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Puerto Rico (2,933,404)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Qatar (2,832,071)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Somalia (15,442,906)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South Sudan (11,062,114)</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Sweden (10,036,391)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Tunisia (11,694,721)</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Ireland (4,882,498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D">
            <w:pPr>
              <w:spacing w:line="240" w:lineRule="auto"/>
              <w:rPr>
                <w:sz w:val="20"/>
                <w:szCs w:val="20"/>
                <w:highlight w:val="white"/>
              </w:rPr>
            </w:pPr>
            <w:r w:rsidDel="00000000" w:rsidR="00000000" w:rsidRPr="00000000">
              <w:rPr>
                <w:sz w:val="20"/>
                <w:szCs w:val="20"/>
                <w:highlight w:val="white"/>
                <w:rtl w:val="0"/>
              </w:rPr>
              <w:t xml:space="preserve">United Arab Emirates (9,770,526)</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E">
            <w:pPr>
              <w:spacing w:line="240" w:lineRule="auto"/>
              <w:rPr>
                <w:sz w:val="20"/>
                <w:szCs w:val="20"/>
                <w:highlight w:val="white"/>
              </w:rPr>
            </w:pPr>
            <w:r w:rsidDel="00000000" w:rsidR="00000000" w:rsidRPr="00000000">
              <w:rPr>
                <w:sz w:val="20"/>
                <w:szCs w:val="20"/>
                <w:highlight w:val="white"/>
                <w:rtl w:val="0"/>
              </w:rPr>
              <w:t xml:space="preserve">Oman (4,974,992)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Lebanon (6,855,709)</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70">
            <w:pPr>
              <w:spacing w:line="240" w:lineRule="auto"/>
              <w:rPr>
                <w:sz w:val="20"/>
                <w:szCs w:val="20"/>
              </w:rPr>
            </w:pPr>
            <w:r w:rsidDel="00000000" w:rsidR="00000000" w:rsidRPr="00000000">
              <w:rPr>
                <w:rtl w:val="0"/>
              </w:rPr>
            </w:r>
          </w:p>
        </w:tc>
      </w:tr>
    </w:tbl>
    <w:p w:rsidR="00000000" w:rsidDel="00000000" w:rsidP="00000000" w:rsidRDefault="00000000" w:rsidRPr="00000000" w14:paraId="00000071">
      <w:pPr>
        <w:spacing w:after="200" w:line="240" w:lineRule="auto"/>
        <w:rPr>
          <w:b w:val="1"/>
          <w:bCs w:val="1"/>
          <w:sz w:val="20"/>
          <w:szCs w:val="20"/>
        </w:rPr>
      </w:pPr>
      <w:r w:rsidDel="00000000" w:rsidR="00000000" w:rsidRPr="00000000">
        <w:rPr>
          <w:rtl w:val="0"/>
        </w:rPr>
      </w:r>
    </w:p>
    <w:p w:rsidR="00000000" w:rsidDel="00000000" w:rsidP="00000000" w:rsidRDefault="00000000" w:rsidRPr="00000000" w14:paraId="00000072">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73">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Special Cases — Hong Kong &amp; Taiwan</w:t>
      </w:r>
    </w:p>
    <w:p w:rsidR="00000000" w:rsidDel="00000000" w:rsidP="00000000" w:rsidRDefault="00000000" w:rsidRPr="00000000" w14:paraId="00000074">
      <w:pPr>
        <w:pStyle w:val="Heading2"/>
        <w:keepNext w:val="0"/>
        <w:keepLines w:val="0"/>
        <w:spacing w:after="60" w:before="200" w:line="240" w:lineRule="auto"/>
        <w:rPr>
          <w:b w:val="1"/>
          <w:bCs w:val="1"/>
          <w:color w:val="2c5f8a"/>
          <w:sz w:val="22"/>
          <w:szCs w:val="22"/>
        </w:rPr>
      </w:pPr>
      <w:r w:rsidDel="00000000" w:rsidR="00000000" w:rsidRPr="00000000">
        <w:rPr>
          <w:b w:val="1"/>
          <w:bCs w:val="1"/>
          <w:color w:val="2c5f8a"/>
          <w:sz w:val="22"/>
          <w:szCs w:val="22"/>
          <w:rtl w:val="0"/>
        </w:rPr>
        <w:t xml:space="preserve">Hong Kong</w:t>
      </w:r>
    </w:p>
    <w:p w:rsidR="00000000" w:rsidDel="00000000" w:rsidP="00000000" w:rsidRDefault="00000000" w:rsidRPr="00000000" w14:paraId="00000075">
      <w:pPr>
        <w:spacing w:after="140" w:line="240" w:lineRule="auto"/>
        <w:rPr>
          <w:sz w:val="20"/>
          <w:szCs w:val="20"/>
        </w:rPr>
      </w:pPr>
      <w:r w:rsidDel="00000000" w:rsidR="00000000" w:rsidRPr="00000000">
        <w:rPr>
          <w:sz w:val="20"/>
          <w:szCs w:val="20"/>
          <w:rtl w:val="0"/>
        </w:rPr>
        <w:t xml:space="preserve">It should be noted that Hong Kong is not a sovereign nation but rather a Special Administrative Region of China. Nevertheless, it enjoys an independent customs zone, has an entirely separate system for importing and distributing food, and is recorded separately from China by the FAO and other international bodies governing trade. Its statistics are reported independently of China; these are not the same observations, as it is a wholly different case. The reason why Hong Kong can make a good example for our analysis of the supply chain is its dense urban economic environment with unique per-capita characteristics.</w:t>
      </w:r>
    </w:p>
    <w:p w:rsidR="00000000" w:rsidDel="00000000" w:rsidP="00000000" w:rsidRDefault="00000000" w:rsidRPr="00000000" w14:paraId="00000076">
      <w:pPr>
        <w:pStyle w:val="Heading2"/>
        <w:keepNext w:val="0"/>
        <w:keepLines w:val="0"/>
        <w:spacing w:after="60" w:before="200" w:line="240" w:lineRule="auto"/>
        <w:rPr>
          <w:b w:val="1"/>
          <w:bCs w:val="1"/>
          <w:color w:val="2c5f8a"/>
          <w:sz w:val="22"/>
          <w:szCs w:val="22"/>
        </w:rPr>
      </w:pPr>
      <w:r w:rsidDel="00000000" w:rsidR="00000000" w:rsidRPr="00000000">
        <w:rPr>
          <w:b w:val="1"/>
          <w:bCs w:val="1"/>
          <w:color w:val="2c5f8a"/>
          <w:sz w:val="22"/>
          <w:szCs w:val="22"/>
          <w:rtl w:val="0"/>
        </w:rPr>
        <w:t xml:space="preserve">Taiwan</w:t>
      </w:r>
    </w:p>
    <w:p w:rsidR="00000000" w:rsidDel="00000000" w:rsidP="00000000" w:rsidRDefault="00000000" w:rsidRPr="00000000" w14:paraId="00000077">
      <w:pPr>
        <w:spacing w:after="140" w:line="240" w:lineRule="auto"/>
        <w:rPr>
          <w:sz w:val="20"/>
          <w:szCs w:val="20"/>
        </w:rPr>
      </w:pPr>
      <w:r w:rsidDel="00000000" w:rsidR="00000000" w:rsidRPr="00000000">
        <w:rPr>
          <w:sz w:val="20"/>
          <w:szCs w:val="20"/>
          <w:rtl w:val="0"/>
        </w:rPr>
        <w:t xml:space="preserve">Although Taiwan is a politically sensitive area, being neither a member of the UN nor having a clearly defined status, functionally it acts like an independent entity with its own political leadership, agricultural policies, and food systems. It is treated as such by the FAO, which reports on Taiwan independently, and it has all 26 entries in the database, including the V and W variables. With a population of about 24 million, it would be a political choice to leave it out of the study.</w:t>
      </w:r>
    </w:p>
    <w:p w:rsidR="00000000" w:rsidDel="00000000" w:rsidP="00000000" w:rsidRDefault="00000000" w:rsidRPr="00000000" w14:paraId="00000078">
      <w:pPr>
        <w:pBdr>
          <w:bottom w:color="2c5f8a" w:space="1" w:sz="6" w:val="single"/>
        </w:pBdr>
        <w:spacing w:after="140" w:line="240" w:lineRule="auto"/>
        <w:rPr>
          <w:sz w:val="20"/>
          <w:szCs w:val="20"/>
        </w:rPr>
      </w:pPr>
      <w:r w:rsidDel="00000000" w:rsidR="00000000" w:rsidRPr="00000000">
        <w:rPr>
          <w:rtl w:val="0"/>
        </w:rPr>
      </w:r>
    </w:p>
    <w:p w:rsidR="00000000" w:rsidDel="00000000" w:rsidP="00000000" w:rsidRDefault="00000000" w:rsidRPr="00000000" w14:paraId="00000079">
      <w:pPr>
        <w:pStyle w:val="Heading1"/>
        <w:keepNext w:val="0"/>
        <w:keepLines w:val="0"/>
        <w:spacing w:after="100" w:before="280" w:line="240" w:lineRule="auto"/>
        <w:rPr>
          <w:b w:val="1"/>
          <w:bCs w:val="1"/>
          <w:color w:val="1f4e79"/>
          <w:sz w:val="28"/>
          <w:szCs w:val="28"/>
        </w:rPr>
      </w:pPr>
      <w:r w:rsidDel="00000000" w:rsidR="00000000" w:rsidRPr="00000000">
        <w:rPr>
          <w:b w:val="1"/>
          <w:bCs w:val="1"/>
          <w:color w:val="1f4e79"/>
          <w:sz w:val="28"/>
          <w:szCs w:val="28"/>
          <w:rtl w:val="0"/>
        </w:rPr>
        <w:t xml:space="preserve">Final Numbers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40"/>
        <w:gridCol w:w="2520"/>
        <w:tblGridChange w:id="0">
          <w:tblGrid>
            <w:gridCol w:w="6840"/>
            <w:gridCol w:w="2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90.0" w:type="dxa"/>
              <w:left w:w="130.0" w:type="dxa"/>
              <w:bottom w:w="90.0" w:type="dxa"/>
              <w:right w:w="130.0" w:type="dxa"/>
            </w:tcMar>
          </w:tcPr>
          <w:p w:rsidR="00000000" w:rsidDel="00000000" w:rsidP="00000000" w:rsidRDefault="00000000" w:rsidRPr="00000000" w14:paraId="0000007A">
            <w:pPr>
              <w:spacing w:line="240" w:lineRule="auto"/>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90.0" w:type="dxa"/>
              <w:left w:w="130.0" w:type="dxa"/>
              <w:bottom w:w="90.0" w:type="dxa"/>
              <w:right w:w="130.0" w:type="dxa"/>
            </w:tcMar>
          </w:tcPr>
          <w:p w:rsidR="00000000" w:rsidDel="00000000" w:rsidP="00000000" w:rsidRDefault="00000000" w:rsidRPr="00000000" w14:paraId="0000007B">
            <w:pPr>
              <w:spacing w:line="240" w:lineRule="auto"/>
              <w:jc w:val="center"/>
              <w:rPr>
                <w:sz w:val="20"/>
                <w:szCs w:val="20"/>
              </w:rPr>
            </w:pPr>
            <w:r w:rsidDel="00000000" w:rsidR="00000000" w:rsidRPr="00000000">
              <w:rPr>
                <w:b w:val="1"/>
                <w:bCs w:val="1"/>
                <w:color w:val="ffffff"/>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Raw dataset (data rows, before cleaning)</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233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After removing non-country entries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186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After removing countries below 2M population</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147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After removing countries missing V/W data</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132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Final clean dataset (data rows)</w:t>
            </w:r>
          </w:p>
        </w:tc>
        <w:tc>
          <w:tcPr>
            <w:tcBorders>
              <w:top w:color="cccccc" w:space="0" w:sz="4" w:val="single"/>
              <w:left w:color="cccccc" w:space="0" w:sz="4" w:val="single"/>
              <w:bottom w:color="cccccc" w:space="0" w:sz="4" w:val="single"/>
              <w:right w:color="cccccc" w:space="0" w:sz="4" w:val="single"/>
            </w:tcBorders>
            <w:shd w:fill="eef4fa" w:val="clear"/>
            <w:tcMar>
              <w:top w:w="90.0" w:type="dxa"/>
              <w:left w:w="130.0" w:type="dxa"/>
              <w:bottom w:w="90.0" w:type="dxa"/>
              <w:right w:w="130.0" w:type="dxa"/>
            </w:tcMar>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132</w:t>
            </w:r>
          </w:p>
        </w:tc>
      </w:tr>
    </w:tbl>
    <w:p w:rsidR="00000000" w:rsidDel="00000000" w:rsidP="00000000" w:rsidRDefault="00000000" w:rsidRPr="00000000" w14:paraId="00000086">
      <w:pPr>
        <w:spacing w:after="120" w:line="240" w:lineRule="auto"/>
        <w:rPr>
          <w:sz w:val="20"/>
          <w:szCs w:val="2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