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4:37:00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170625796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Exhibit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Briefs, Pleadings and Motions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AR-B-000713-AR-B-000906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Briefs, Pleadings and Motions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Memorandum in Opposition re 242 MOTION for Summary Judgment filed by Evonne Bryant, Sylvia Givens, New Virginia Majority, Residents of St. Paul's Quadrant Tenant Group, Conswayla Simmons, Brandon Sprately. (Attachments: # 1 Exhibit A - Excerpts of the Deposition of Phillip Kash, # 2 Exhibit B - Excerpts of the Deposition of Lafeetah Byrum, # 3 Exhibit C - Email from Dudley to Perry, # 4 Exhibit D - Email from Gindroz to Perry, # 5 Exhibit E - Excerpts of the Deposition of John C. Kownack, # 6 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Briefs, Pleadings and Motions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MEMORANDUM IN OPPOSITION TO DEFENDANT NORFOLK REDEVELOPMENT AND HOUSING AUTHORITY'S MOTION FOR SUMMARY JUDGMENT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Briefs, Pleadings and Motions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9"/>
          <w:headerReference w:type="default" r:id="rId10"/>
          <w:footerReference w:type="even" r:id="rId11"/>
          <w:footerReference w:type="default" r:id="rId12"/>
          <w:headerReference w:type="first" r:id="rId13"/>
          <w:footerReference w:type="first" r:id="rId14"/>
          <w:type w:val="nextPage"/>
          <w:pgMar w:top="840" w:right="1080" w:bottom="840" w:left="1080" w:header="0" w:footer="0"/>
          <w:pgNumType w:fmt="decimal"/>
          <w:cols w:space="720"/>
        </w:sectPr>
      </w:pPr>
    </w:p>
    <w:p>
      <w:pPr>
        <w:rPr>
          <w:lang w:val="en-US" w:eastAsia="en-US" w:bidi="ar-SA"/>
        </w:rPr>
        <w:sectPr>
          <w:headerReference w:type="even" r:id="rId15"/>
          <w:headerReference w:type="default" r:id="rId16"/>
          <w:footerReference w:type="even" r:id="rId17"/>
          <w:footerReference w:type="default" r:id="rId18"/>
          <w:headerReference w:type="first" r:id="rId19"/>
          <w:footerReference w:type="first" r:id="rId2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 w:history="1">
        <w:r>
          <w:rPr>
            <w:rFonts w:ascii="arial" w:eastAsia="arial" w:hAnsi="arial" w:cs="arial"/>
            <w:b/>
            <w:bCs/>
            <w:i/>
            <w:color w:val="0077CC"/>
            <w:kern w:val="32"/>
            <w:sz w:val="28"/>
            <w:szCs w:val="32"/>
            <w:u w:val="single"/>
            <w:shd w:val="clear" w:color="auto" w:fill="FFFFFF"/>
            <w:lang w:val="en-US" w:eastAsia="en-US" w:bidi="ar-SA"/>
          </w:rPr>
          <w:t>Public Citizen, Inc. V. United States Department Of Housing And Urban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1:19cv915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District Court for the District of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2019, Filed</w:t>
      </w:r>
    </w:p>
    <w:p>
      <w:pPr>
        <w:keepNext w:val="0"/>
        <w:spacing w:after="0" w:line="240" w:lineRule="atLeast"/>
        <w:ind w:right="0"/>
        <w:jc w:val="both"/>
        <w:rPr>
          <w:lang w:val="en-US" w:eastAsia="en-US" w:bidi="ar-SA"/>
        </w:rPr>
      </w:pPr>
    </w:p>
    <w:p>
      <w:pPr>
        <w:keepNext w:val="0"/>
        <w:spacing w:before="200" w:after="0" w:line="240" w:lineRule="atLeast"/>
        <w:ind w:left="0" w:right="0" w:firstLine="0"/>
        <w:jc w:val="left"/>
        <w:rPr>
          <w:lang w:val="en-US" w:eastAsia="en-US" w:bidi="ar-SA"/>
        </w:rPr>
      </w:pPr>
      <w:bookmarkStart w:id="1" w:name="Reporter"/>
      <w:bookmarkEnd w:id="1"/>
      <w:r>
        <w:rPr>
          <w:rFonts w:ascii="arial" w:eastAsia="arial" w:hAnsi="arial" w:cs="arial"/>
          <w:b/>
          <w:color w:val="000000"/>
          <w:sz w:val="18"/>
          <w:lang w:val="en-US" w:eastAsia="en-US" w:bidi="ar-SA"/>
        </w:rPr>
        <w:t>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State:</w:t>
      </w:r>
      <w:r>
        <w:rPr>
          <w:rFonts w:ascii="arial" w:eastAsia="arial" w:hAnsi="arial" w:cs="arial"/>
          <w:color w:val="000000"/>
          <w:sz w:val="20"/>
          <w:lang w:val="en-US" w:eastAsia="en-US" w:bidi="ar-SA"/>
        </w:rPr>
        <w:t> US-DC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Type:</w:t>
      </w:r>
      <w:r>
        <w:rPr>
          <w:rFonts w:ascii="arial" w:eastAsia="arial" w:hAnsi="arial" w:cs="arial"/>
          <w:color w:val="000000"/>
          <w:sz w:val="20"/>
          <w:lang w:val="en-US" w:eastAsia="en-US" w:bidi="ar-SA"/>
        </w:rPr>
        <w:t> Motion for Partial Summary Judgment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Title</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Exhibit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PDF document</w:t>
      </w:r>
    </w:p>
    <w:p>
      <w:pPr>
        <w:rPr>
          <w:lang w:val="en-US" w:eastAsia="en-US" w:bidi="ar-SA"/>
        </w:rPr>
      </w:pPr>
    </w:p>
    <w:p>
      <w:pPr>
        <w:ind w:left="200"/>
        <w:rPr>
          <w:lang w:val="en-US" w:eastAsia="en-US" w:bidi="ar-SA"/>
        </w:rPr>
        <w:sectPr>
          <w:type w:val="continuous"/>
          <w:pgMar w:top="840" w:right="1000" w:bottom="840" w:left="1000" w:header="400" w:footer="400"/>
          <w:pgNumType w:fmt="decimal"/>
          <w:cols w:num="1" w:space="720"/>
        </w:sectPr>
      </w:pPr>
      <w:r>
        <w:rPr>
          <w:lang w:val="en-US" w:eastAsia="en-US" w:bidi="ar-SA"/>
        </w:rPr>
        <w:br/>
      </w:r>
      <w:r>
        <w:pict>
          <v:line id="_x0000_s1028"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State Of New York Et Al V. United States Environmental Protection Agency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1:20cv10642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District Court for the Southern District of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2020, Filed</w:t>
      </w:r>
    </w:p>
    <w:p>
      <w:pPr>
        <w:keepNext w:val="0"/>
        <w:spacing w:after="0" w:line="240" w:lineRule="atLeast"/>
        <w:ind w:right="0"/>
        <w:jc w:val="both"/>
        <w:rPr>
          <w:lang w:val="en-US" w:eastAsia="en-US" w:bidi="ar-SA"/>
        </w:rPr>
      </w:pPr>
    </w:p>
    <w:p>
      <w:pPr>
        <w:keepNext w:val="0"/>
        <w:spacing w:before="200" w:after="0" w:line="240" w:lineRule="atLeast"/>
        <w:ind w:left="0" w:right="0" w:firstLine="0"/>
        <w:jc w:val="left"/>
        <w:rPr>
          <w:lang w:val="en-US" w:eastAsia="en-US" w:bidi="ar-SA"/>
        </w:rPr>
      </w:pPr>
      <w:bookmarkStart w:id="3" w:name="Reporter_0"/>
      <w:bookmarkEnd w:id="3"/>
      <w:r>
        <w:rPr>
          <w:rFonts w:ascii="arial" w:eastAsia="arial" w:hAnsi="arial" w:cs="arial"/>
          <w:b/>
          <w:color w:val="000000"/>
          <w:sz w:val="18"/>
          <w:lang w:val="en-US" w:eastAsia="en-US" w:bidi="ar-SA"/>
        </w:rPr>
        <w:t>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State:</w:t>
      </w:r>
      <w:r>
        <w:rPr>
          <w:rFonts w:ascii="arial" w:eastAsia="arial" w:hAnsi="arial" w:cs="arial"/>
          <w:color w:val="000000"/>
          <w:sz w:val="20"/>
          <w:lang w:val="en-US" w:eastAsia="en-US" w:bidi="ar-SA"/>
        </w:rPr>
        <w:t> US-NY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Type:</w:t>
      </w:r>
      <w:r>
        <w:rPr>
          <w:rFonts w:ascii="arial" w:eastAsia="arial" w:hAnsi="arial" w:cs="arial"/>
          <w:color w:val="000000"/>
          <w:sz w:val="20"/>
          <w:lang w:val="en-US" w:eastAsia="en-US" w:bidi="ar-SA"/>
        </w:rPr>
        <w:t> Notice (Other)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Title</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AR-B-000713-AR-B-000906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PDF document</w:t>
      </w:r>
    </w:p>
    <w:p>
      <w:pPr>
        <w:rPr>
          <w:lang w:val="en-US" w:eastAsia="en-US" w:bidi="ar-SA"/>
        </w:rPr>
      </w:pPr>
    </w:p>
    <w:p>
      <w:pPr>
        <w:ind w:left="200"/>
        <w:rPr>
          <w:lang w:val="en-US" w:eastAsia="en-US" w:bidi="ar-SA"/>
        </w:rPr>
        <w:sectPr>
          <w:type w:val="continuous"/>
          <w:pgMar w:top="840" w:right="1000" w:bottom="840" w:left="1000" w:header="400" w:footer="400"/>
          <w:pgNumType w:fmt="decimal"/>
          <w:cols w:num="1" w:space="720"/>
        </w:sectPr>
      </w:pPr>
      <w:r>
        <w:rPr>
          <w:lang w:val="en-US" w:eastAsia="en-US" w:bidi="ar-SA"/>
        </w:rPr>
        <w:br/>
      </w:r>
      <w:r>
        <w:pict>
          <v:line id="_x0000_s1031"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 w:history="1">
        <w:r>
          <w:rPr>
            <w:rFonts w:ascii="arial" w:eastAsia="arial" w:hAnsi="arial" w:cs="arial"/>
            <w:b/>
            <w:bCs/>
            <w:i/>
            <w:color w:val="0077CC"/>
            <w:kern w:val="32"/>
            <w:sz w:val="28"/>
            <w:szCs w:val="32"/>
            <w:u w:val="single"/>
            <w:shd w:val="clear" w:color="auto" w:fill="FFFFFF"/>
            <w:lang w:val="en-US" w:eastAsia="en-US" w:bidi="ar-SA"/>
          </w:rPr>
          <w:t>Bryant Et Al V. City Of Norfolk Et 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2:20cv26</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District Court for the Eastern District of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2020, Filed</w:t>
      </w:r>
    </w:p>
    <w:p>
      <w:pPr>
        <w:keepNext w:val="0"/>
        <w:spacing w:after="0" w:line="240" w:lineRule="atLeast"/>
        <w:ind w:right="0"/>
        <w:jc w:val="both"/>
        <w:rPr>
          <w:lang w:val="en-US" w:eastAsia="en-US" w:bidi="ar-SA"/>
        </w:rPr>
      </w:pPr>
    </w:p>
    <w:p>
      <w:pPr>
        <w:keepNext w:val="0"/>
        <w:spacing w:before="200" w:after="0" w:line="240" w:lineRule="atLeast"/>
        <w:ind w:left="0" w:right="0" w:firstLine="0"/>
        <w:jc w:val="left"/>
        <w:rPr>
          <w:lang w:val="en-US" w:eastAsia="en-US" w:bidi="ar-SA"/>
        </w:rPr>
      </w:pPr>
      <w:bookmarkStart w:id="5" w:name="Reporter_1"/>
      <w:bookmarkEnd w:id="5"/>
      <w:r>
        <w:rPr>
          <w:rFonts w:ascii="arial" w:eastAsia="arial" w:hAnsi="arial" w:cs="arial"/>
          <w:b/>
          <w:color w:val="000000"/>
          <w:sz w:val="18"/>
          <w:lang w:val="en-US" w:eastAsia="en-US" w:bidi="ar-SA"/>
        </w:rPr>
        <w:t>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State:</w:t>
      </w:r>
      <w:r>
        <w:rPr>
          <w:rFonts w:ascii="arial" w:eastAsia="arial" w:hAnsi="arial" w:cs="arial"/>
          <w:color w:val="000000"/>
          <w:sz w:val="20"/>
          <w:lang w:val="en-US" w:eastAsia="en-US" w:bidi="ar-SA"/>
        </w:rPr>
        <w:t> US-VA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Type:</w:t>
      </w:r>
      <w:r>
        <w:rPr>
          <w:rFonts w:ascii="arial" w:eastAsia="arial" w:hAnsi="arial" w:cs="arial"/>
          <w:color w:val="000000"/>
          <w:sz w:val="20"/>
          <w:lang w:val="en-US" w:eastAsia="en-US" w:bidi="ar-SA"/>
        </w:rPr>
        <w:t> Memorandum in Opposition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Title</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Memorandum in Opposition re 242 MOTION for Summary Judgment filed by Evonne Bryant, Sylvia Givens, New Virginia Majority, Residents of St. Paul's Quadrant Tenant Group, Conswayla Simmons, Brandon Sprately. (Attachments: # 1 Exhibit A - Excerpts of the Deposition of Phillip Kash, # 2 Exhibit B - Excerpts of the Deposition of Lafeetah Byrum, # 3 Exhibit C - Email from Dudley to Perry, # 4 Exhibit D - Email from Gindroz to Perry, # 5 Exhibit E - Excerpts of the Deposition of John C. Kownack, # 6 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PDF document</w:t>
      </w:r>
    </w:p>
    <w:p>
      <w:pPr>
        <w:rPr>
          <w:lang w:val="en-US" w:eastAsia="en-US" w:bidi="ar-SA"/>
        </w:rPr>
      </w:pPr>
    </w:p>
    <w:p>
      <w:pPr>
        <w:ind w:left="200"/>
        <w:rPr>
          <w:lang w:val="en-US" w:eastAsia="en-US" w:bidi="ar-SA"/>
        </w:rPr>
        <w:sectPr>
          <w:type w:val="continuous"/>
          <w:pgMar w:top="840" w:right="1000" w:bottom="840" w:left="1000" w:header="400" w:footer="400"/>
          <w:pgNumType w:fmt="decimal"/>
          <w:cols w:num="1" w:space="720"/>
        </w:sectPr>
      </w:pPr>
      <w:r>
        <w:rPr>
          <w:lang w:val="en-US" w:eastAsia="en-US" w:bidi="ar-SA"/>
        </w:rPr>
        <w:br/>
      </w:r>
      <w:r>
        <w:pict>
          <v:line id="_x0000_s1034"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BRYANT v. CITY OF NORFOLK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Case No. 2:20-CV-00026-RCY-RJK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UNITED STATES DISTRICT COURT FOR THE EASTERN DISTRICT OF VIRGINIA, NORFOLK DIVISION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2021</w:t>
      </w:r>
    </w:p>
    <w:p>
      <w:pPr>
        <w:keepNext w:val="0"/>
        <w:spacing w:after="0" w:line="240" w:lineRule="atLeast"/>
        <w:ind w:right="0"/>
        <w:jc w:val="both"/>
        <w:rPr>
          <w:lang w:val="en-US" w:eastAsia="en-US" w:bidi="ar-SA"/>
        </w:rPr>
      </w:pPr>
    </w:p>
    <w:p>
      <w:pPr>
        <w:keepNext w:val="0"/>
        <w:spacing w:before="200" w:after="0" w:line="240" w:lineRule="atLeast"/>
        <w:ind w:left="0" w:right="0" w:firstLine="0"/>
        <w:jc w:val="left"/>
        <w:rPr>
          <w:lang w:val="en-US" w:eastAsia="en-US" w:bidi="ar-SA"/>
        </w:rPr>
      </w:pPr>
      <w:bookmarkStart w:id="7" w:name="Reporter_2"/>
      <w:bookmarkEnd w:id="7"/>
      <w:r>
        <w:rPr>
          <w:rFonts w:ascii="arial" w:eastAsia="arial" w:hAnsi="arial" w:cs="arial"/>
          <w:b/>
          <w:color w:val="000000"/>
          <w:sz w:val="18"/>
          <w:lang w:val="en-US" w:eastAsia="en-US" w:bidi="ar-SA"/>
        </w:rPr>
        <w:t>Reporter</w:t>
      </w:r>
    </w:p>
    <w:p>
      <w:pPr>
        <w:keepNext w:val="0"/>
        <w:spacing w:after="0" w:line="240" w:lineRule="atLeast"/>
        <w:ind w:left="0" w:right="0" w:firstLine="0"/>
        <w:jc w:val="left"/>
        <w:rPr>
          <w:lang w:val="en-US" w:eastAsia="en-US" w:bidi="ar-SA"/>
        </w:rPr>
      </w:pPr>
      <w:r>
        <w:rPr>
          <w:rFonts w:ascii="arial" w:eastAsia="arial" w:hAnsi="arial" w:cs="arial"/>
          <w:color w:val="000000"/>
          <w:sz w:val="18"/>
          <w:lang w:val="en-US" w:eastAsia="en-US" w:bidi="ar-SA"/>
        </w:rPr>
        <w:t>2021 U.S. DIST. CT. MOTIONS LEXIS 11101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EVONNE BRYANT, et al., Plaintiffs, v. CITY OF NORFOLK, et al., Defendants.</w:t>
      </w:r>
    </w:p>
    <w:p>
      <w:pPr>
        <w:keepNext w:val="0"/>
        <w:spacing w:before="240" w:after="0" w:line="260" w:lineRule="atLeast"/>
        <w:ind w:left="0" w:right="0" w:firstLine="0"/>
        <w:jc w:val="left"/>
        <w:rPr>
          <w:lang w:val="en-US" w:eastAsia="en-US" w:bidi="ar-SA"/>
        </w:rPr>
      </w:pPr>
      <w:bookmarkStart w:id="8" w:name="Type"/>
      <w:bookmarkEnd w:id="8"/>
      <w:r>
        <w:rPr>
          <w:rFonts w:ascii="arial" w:eastAsia="arial" w:hAnsi="arial" w:cs="arial"/>
          <w:b/>
          <w:color w:val="000000"/>
          <w:sz w:val="20"/>
          <w:lang w:val="en-US" w:eastAsia="en-US" w:bidi="ar-SA"/>
        </w:rPr>
        <w:t>Type:</w:t>
      </w:r>
      <w:r>
        <w:rPr>
          <w:rFonts w:ascii="arial" w:eastAsia="arial" w:hAnsi="arial" w:cs="arial"/>
          <w:color w:val="000000"/>
          <w:sz w:val="20"/>
          <w:lang w:val="en-US" w:eastAsia="en-US" w:bidi="ar-SA"/>
        </w:rPr>
        <w:t> Motion</w:t>
      </w:r>
    </w:p>
    <w:p>
      <w:pPr>
        <w:keepNext/>
        <w:spacing w:before="240" w:after="0" w:line="340" w:lineRule="atLeast"/>
        <w:ind w:left="0" w:right="0" w:firstLine="0"/>
        <w:jc w:val="left"/>
        <w:rPr>
          <w:lang w:val="en-US" w:eastAsia="en-US" w:bidi="ar-SA"/>
        </w:rPr>
      </w:pPr>
      <w:bookmarkStart w:id="9" w:name="Title"/>
      <w:bookmarkEnd w:id="9"/>
      <w:r>
        <w:rPr>
          <w:rFonts w:ascii="arial" w:eastAsia="arial" w:hAnsi="arial" w:cs="arial"/>
          <w:b/>
          <w:color w:val="000000"/>
          <w:sz w:val="28"/>
          <w:lang w:val="en-US" w:eastAsia="en-US" w:bidi="ar-SA"/>
        </w:rPr>
        <w:t>Title</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MEMORANDUM IN OPPOSITION TO DEFENDANT NORFOLK REDEVELOPMENT AND HOUSING AUTHORITY'S MOTION FOR SUMMARY JUDGMENT</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10" w:name="Text"/>
      <w:bookmarkEnd w:id="10"/>
      <w:r>
        <w:rPr>
          <w:rFonts w:ascii="arial" w:eastAsia="arial" w:hAnsi="arial" w:cs="arial"/>
          <w:b/>
          <w:color w:val="000000"/>
          <w:sz w:val="28"/>
          <w:lang w:val="en-US" w:eastAsia="en-US" w:bidi="ar-SA"/>
        </w:rPr>
        <w:t>Text</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 [*1] </w:t>
      </w:r>
      <w:r>
        <w:rPr>
          <w:rFonts w:ascii="arial" w:eastAsia="arial" w:hAnsi="arial" w:cs="arial"/>
          <w:color w:val="000000"/>
          <w:sz w:val="20"/>
          <w:lang w:val="en-US" w:eastAsia="en-US" w:bidi="ar-SA"/>
        </w:rPr>
        <w:t xml:space="preserve">In its motion, Defendant Norfolk Redevelopment Housing Authority ("NRHA") suggests that being forced out of one's home and into a different, segregated neighborhood of low opportunity, farther from work, with fewer grocery options, and low-performing schools is not a concrete harm. NRHA also suggests that denying a Black resident of Tidewater Gardens ("TWG") the ability to return to his or her neighborhood after redevelopment is not a concrete harm. NRHA is wrong as a matter of fact and law. Clearly, Plaintiffs Evonne Bryant, Sylvia Givens, Brandon Sprately, and Conswayla Simmons (the "Individual Plaintiffs")-and no doubt many other displaced residents of TWG and extremely low-income Black residents of Norfolk-have been harmed by NRHA's dismissive views and improper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its baseless challenge to Plaintiffs' standing, NRHA raises two other arguments in support of its Motion for Summary Judgment (ECF No. 242) (the "Motion"): first, that Plaintiffs cannot establish a prima facie case of disparate impact under the Fair Housing Act, </w:t>
      </w:r>
      <w:hyperlink r:id="rId43" w:history="1">
        <w:r>
          <w:rPr>
            <w:rFonts w:ascii="arial" w:eastAsia="arial" w:hAnsi="arial" w:cs="arial"/>
            <w:i/>
            <w:color w:val="0077CC"/>
            <w:sz w:val="20"/>
            <w:u w:val="single"/>
            <w:shd w:val="clear" w:color="auto" w:fill="FFFFFF"/>
            <w:lang w:val="en-US" w:eastAsia="en-US" w:bidi="ar-SA"/>
          </w:rPr>
          <w:t xml:space="preserve">42 U.S.C. § 3601,   </w:t>
        </w:r>
      </w:hyperlink>
      <w:hyperlink r:id="rId43" w:history="1">
        <w:r>
          <w:rPr>
            <w:rFonts w:ascii="arial" w:eastAsia="arial" w:hAnsi="arial" w:cs="arial"/>
            <w:i/>
            <w:color w:val="0077CC"/>
            <w:sz w:val="20"/>
            <w:u w:val="single"/>
            <w:shd w:val="clear" w:color="auto" w:fill="FFFFFF"/>
            <w:lang w:val="en-US" w:eastAsia="en-US" w:bidi="ar-SA"/>
          </w:rPr>
          <w:t>et seq.</w:t>
        </w:r>
      </w:hyperlink>
      <w:r>
        <w:rPr>
          <w:rFonts w:ascii="arial" w:eastAsia="arial" w:hAnsi="arial" w:cs="arial"/>
          <w:color w:val="000000"/>
          <w:sz w:val="20"/>
          <w:lang w:val="en-US" w:eastAsia="en-US" w:bidi="ar-SA"/>
        </w:rPr>
        <w:t>, ("FHA") against NRHA and Defendant City of Norfolk (the "City" and, together with NRHA, "Local Defendants");</w:t>
      </w:r>
      <w:r>
        <w:rPr>
          <w:rFonts w:ascii="arial" w:eastAsia="arial" w:hAnsi="arial" w:cs="arial"/>
          <w:b/>
          <w:color w:val="000000"/>
          <w:sz w:val="20"/>
          <w:lang w:val="en-US" w:eastAsia="en-US" w:bidi="ar-SA"/>
        </w:rPr>
        <w:t> [*2] </w:t>
      </w:r>
      <w:r>
        <w:rPr>
          <w:rFonts w:ascii="arial" w:eastAsia="arial" w:hAnsi="arial" w:cs="arial"/>
          <w:color w:val="000000"/>
          <w:sz w:val="20"/>
          <w:lang w:val="en-US" w:eastAsia="en-US" w:bidi="ar-SA"/>
        </w:rPr>
        <w:t xml:space="preserve"> and second, that Plaintiffs cannot establish a viable alternative to the Redevelopment Plan. ECF No. 243 at 1. Each of these arguments also is wrong as a matter of fact and law. Further, a genuine dispute of material fact exists regarding the viability of Plaintiffs' alternative to the Redevelopment Plan, which precludes summary judgment. For all of these reasons, the Court should deny the Motion.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STATEMENT OF DISPUTED MATERIAL FACTS</w:t>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 identifies 26 purportedly undisputed material facts within a section of its memorandum titled "Statement of Undisputed Facts."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243 at 2-6 ("SUMF"). Pursuant to Local Rule 56(B), Plaintiffs contend that there exists a genuine issue necessary to be litigated as to the following facts, as reflected by the accompanying record citations.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SUMF 2: Disputed. NRHA's statement is misleading. The Choice Neighborhood Initiative ("CNI") area and St Paul's Quadrant are much larger than the TWG footprint. In fact, the first projects to be constructed with funding from the CNI grant are outside of the footprint altogether. Further, there are other projects that were planned to be built outside the footprint and approved by HUD, specifically,</w:t>
      </w:r>
      <w:r>
        <w:rPr>
          <w:rFonts w:ascii="arial" w:eastAsia="arial" w:hAnsi="arial" w:cs="arial"/>
          <w:b/>
          <w:color w:val="000000"/>
          <w:sz w:val="20"/>
          <w:lang w:val="en-US" w:eastAsia="en-US" w:bidi="ar-SA"/>
        </w:rPr>
        <w:t> [*3] </w:t>
      </w:r>
      <w:r>
        <w:rPr>
          <w:rFonts w:ascii="arial" w:eastAsia="arial" w:hAnsi="arial" w:cs="arial"/>
          <w:color w:val="000000"/>
          <w:sz w:val="20"/>
          <w:lang w:val="en-US" w:eastAsia="en-US" w:bidi="ar-SA"/>
        </w:rPr>
        <w:t xml:space="preserve"> Snyder Lot, the former Police Station site and Red Carpet site, that the City has decided not to build.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ECF No. 160-3 at 159:16-161:3. Further, there are vacant lots either in the CNI area or immediately adjacent, much of it owned by the City or NRHA, that could be developed.   </w:t>
      </w:r>
      <w:r>
        <w:rPr>
          <w:rFonts w:ascii="arial" w:eastAsia="arial" w:hAnsi="arial" w:cs="arial"/>
          <w:i/>
          <w:color w:val="000000"/>
          <w:sz w:val="20"/>
          <w:lang w:val="en-US" w:eastAsia="en-US" w:bidi="ar-SA"/>
        </w:rPr>
        <w:t>See id.</w:t>
      </w:r>
      <w:r>
        <w:rPr>
          <w:rFonts w:ascii="arial" w:eastAsia="arial" w:hAnsi="arial" w:cs="arial"/>
          <w:color w:val="000000"/>
          <w:sz w:val="20"/>
          <w:lang w:val="en-US" w:eastAsia="en-US" w:bidi="ar-SA"/>
        </w:rPr>
        <w:t xml:space="preserve"> at 149:5-150:6; Ex. A, Kash Dep. Tr. at 201:12-22. City witness, Phillip Kash, admitted that space is not a constraint for redevelopment. Ex. A, Kash Dep. Tr. at 142:21-144:6.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SUMF 3: Disputed. The statement that the Plan "minimizes the time residents will be temporarily displaced" is so incorrect as to be absurd. ECF No. 243 P 3. Even under the original plan submitted to HUD, the first developments, Snyder Lot, Red Carpet and the former Police Station, were not slated for completion until 2021 and 2022, when hundreds of TWG residents would have already move to other locations.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221-2 at 59. But Snyder Lot, the Red Carpet site, and the Police Station site-which was supposed to be the first building built-are no longer being developed.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193-2 (showing that Snyder Lot has been removed); ECF No. 160-3 at 159:16-161:3. Therefore, the NRHA is by no way minimizing</w:t>
      </w:r>
      <w:r>
        <w:rPr>
          <w:rFonts w:ascii="arial" w:eastAsia="arial" w:hAnsi="arial" w:cs="arial"/>
          <w:b/>
          <w:color w:val="000000"/>
          <w:sz w:val="20"/>
          <w:lang w:val="en-US" w:eastAsia="en-US" w:bidi="ar-SA"/>
        </w:rPr>
        <w:t> [*4] </w:t>
      </w:r>
      <w:r>
        <w:rPr>
          <w:rFonts w:ascii="arial" w:eastAsia="arial" w:hAnsi="arial" w:cs="arial"/>
          <w:color w:val="000000"/>
          <w:sz w:val="20"/>
          <w:lang w:val="en-US" w:eastAsia="en-US" w:bidi="ar-SA"/>
        </w:rPr>
        <w:t xml:space="preserve"> the time residents will be temporarily displaced. ECF No. 227 P 46 (citing ECF No. 162-2 at 56-58; ECF No. 160-3 at 159:16-161:3; ECF No. 160-13 at 8). Local Defendants have pushed construction of those replacement units that were to be included in earlier phases to later phases of the Plan, thus ensuring that all TWG residents will be displaced for even longer periods, almost certainly into segregated, low-opportunity areas of the city.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(citing ECF No. 193-2 at 4, 7). More than two years after NRHA and the City received the CNI grant, not a single resident of TWG has relocated to a replacement unit, either inside or outside the CNI and the first buildings will not be ready for lease up until late in 2022. The NRHA's plan is to have all 618 families gone by August 2022 and 349 have left as of May, 2021.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227 P 38; ECF No. 227-4.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SUMF 4: Disputed. To the extent that the useful life of Tidewater Gardens has been exceeded, that is in part a function of a continuing failure to maintain this community and intentional disinvestment.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159-3 at 5 (citing "a total of 1089 health and safety deficiencies [that] would apply to the property"), 34 (detailing deficiencies on the grounds of TWG), 34-35 (detailing deficiencies in units at TWG); ECF No. 159-4 at 31:21-42:19; ECF No. 155-8 at 226:7-227:1 (Ms. Givens forced to relocate due to terrible housing conditions); Ex. B, Byrum Dep. Tr. at 111:14-112:5; ECF No. 200-2 PP 5-15; ECF No. 200-3 PP 7-18.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SUMF 5: Disputed. The hundreds of children displaced from TWG have been forced to switch schools mid-year, predominately to</w:t>
      </w:r>
      <w:r>
        <w:rPr>
          <w:rFonts w:ascii="arial" w:eastAsia="arial" w:hAnsi="arial" w:cs="arial"/>
          <w:b/>
          <w:color w:val="000000"/>
          <w:sz w:val="20"/>
          <w:lang w:val="en-US" w:eastAsia="en-US" w:bidi="ar-SA"/>
        </w:rPr>
        <w:t> [*5] </w:t>
      </w:r>
      <w:r>
        <w:rPr>
          <w:rFonts w:ascii="arial" w:eastAsia="arial" w:hAnsi="arial" w:cs="arial"/>
          <w:color w:val="000000"/>
          <w:sz w:val="20"/>
          <w:lang w:val="en-US" w:eastAsia="en-US" w:bidi="ar-SA"/>
        </w:rPr>
        <w:t xml:space="preserve"> low-achieving schools that fail to provide an "effective" education." ECF No. 227 P 40. Indeed, Plaintiffs' Expert, Ann Moss Joyner explained that "of the 91 school-age children . . . who have relocated in Norfolk . . . the majority of children are moving to schools which are segregated and poor quality." ECF No. 155-</w:t>
      </w:r>
      <w:hyperlink r:id="rId44" w:history="1">
        <w:r>
          <w:rPr>
            <w:rFonts w:ascii="arial" w:eastAsia="arial" w:hAnsi="arial" w:cs="arial"/>
            <w:i/>
            <w:color w:val="0077CC"/>
            <w:sz w:val="20"/>
            <w:u w:val="single"/>
            <w:shd w:val="clear" w:color="auto" w:fill="FFFFFF"/>
            <w:lang w:val="en-US" w:eastAsia="en-US" w:bidi="ar-SA"/>
          </w:rPr>
          <w:t>2 P 86</w:t>
        </w:r>
      </w:hyperlink>
      <w:r>
        <w:rPr>
          <w:rFonts w:ascii="arial" w:eastAsia="arial" w:hAnsi="arial" w:cs="arial"/>
          <w:color w:val="000000"/>
          <w:sz w:val="20"/>
          <w:lang w:val="en-US" w:eastAsia="en-US" w:bidi="ar-SA"/>
        </w:rPr>
        <w:t xml:space="preserve">. Most of the people who have been displaced will not be able to come back and will not have the opportunity to benefit from the new educational opportunities that will be offered in the redeveloped CNI area.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227 PP 32, 44, 46, 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SUMF 6: Disputed. Dr. John Finn explained that "over three quarters of households and children who have used HCVs to relocate from Tidewater Gardens through September 30, 2020 have moved into census tracts where some portion of the tract is an urban food desert." ECF No. 160-20 at 10. And one quarter of those residents have related to tracts where the majority of the tract is an urban food desert, "double the proportion of the population of the City of Norfolk that lives in census tracts where the majority of the tract is an urban food desert."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Most of the people who have been displaced and now live in these food</w:t>
      </w:r>
      <w:r>
        <w:rPr>
          <w:rFonts w:ascii="arial" w:eastAsia="arial" w:hAnsi="arial" w:cs="arial"/>
          <w:b/>
          <w:color w:val="000000"/>
          <w:sz w:val="20"/>
          <w:lang w:val="en-US" w:eastAsia="en-US" w:bidi="ar-SA"/>
        </w:rPr>
        <w:t> [*6] </w:t>
      </w:r>
      <w:r>
        <w:rPr>
          <w:rFonts w:ascii="arial" w:eastAsia="arial" w:hAnsi="arial" w:cs="arial"/>
          <w:color w:val="000000"/>
          <w:sz w:val="20"/>
          <w:lang w:val="en-US" w:eastAsia="en-US" w:bidi="ar-SA"/>
        </w:rPr>
        <w:t xml:space="preserve"> deserts, will not have the opportunity to come back and benefit from the improved shopping opportunities promised in the redeveloped area.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227 PP 32, 44, 46, 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SUMF 8: Disputed. The report cited by the NRHA states that the St. Paul's Quadrant is a "prime development site," and does not recommend any particular types of replacement housing. ECF 159-1 at 62. In fact, the City's own consultants recommended plans that would have significantly increased the number of replacement units.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Ex. C, Email from Dudley to Perry at CITY0097776-77 (noting that the planned 200 replacement units "is too low to achieve the longer-term goal of 600 over the remaining phases);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Ex. D, Email from Gindroz to Perry at CITY0064265 (explaining that Plaintiffs' "two main charges have some basis in fact" and recommending that the City consider adding additional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NRHA 9: Disputed. Even if the NRHA commissioned experts and studies, they disregarded these studies when it was inconsistent with their goals. </w:t>
      </w:r>
      <w:hyperlink r:id="rId45" w:history="1">
        <w:r>
          <w:rPr>
            <w:rFonts w:ascii="arial" w:eastAsia="arial" w:hAnsi="arial" w:cs="arial"/>
            <w:i/>
            <w:color w:val="0077CC"/>
            <w:sz w:val="20"/>
            <w:u w:val="single"/>
            <w:shd w:val="clear" w:color="auto" w:fill="FFFFFF"/>
            <w:lang w:val="en-US" w:eastAsia="en-US" w:bidi="ar-SA"/>
          </w:rPr>
          <w:t>ECF 160-7 P 33</w:t>
        </w:r>
      </w:hyperlink>
      <w:r>
        <w:rPr>
          <w:rFonts w:ascii="arial" w:eastAsia="arial" w:hAnsi="arial" w:cs="arial"/>
          <w:color w:val="000000"/>
          <w:sz w:val="20"/>
          <w:lang w:val="en-US" w:eastAsia="en-US" w:bidi="ar-SA"/>
        </w:rPr>
        <w:t xml:space="preserve"> ("The representation of the City and the NRHA that the City is a loose rental market is contradicted by their own Absorption Study, conducted to assess the availability</w:t>
      </w:r>
      <w:r>
        <w:rPr>
          <w:rFonts w:ascii="arial" w:eastAsia="arial" w:hAnsi="arial" w:cs="arial"/>
          <w:b/>
          <w:color w:val="000000"/>
          <w:sz w:val="20"/>
          <w:lang w:val="en-US" w:eastAsia="en-US" w:bidi="ar-SA"/>
        </w:rPr>
        <w:t> [*7] </w:t>
      </w:r>
      <w:r>
        <w:rPr>
          <w:rFonts w:ascii="arial" w:eastAsia="arial" w:hAnsi="arial" w:cs="arial"/>
          <w:color w:val="000000"/>
          <w:sz w:val="20"/>
          <w:lang w:val="en-US" w:eastAsia="en-US" w:bidi="ar-SA"/>
        </w:rPr>
        <w:t xml:space="preserve"> of rental units in the City. This study cites an extremely tight rental market, stating 'the Norfolk multifamily rental market has a current vacancy rate of only 2.6 percent.'. . . As the Study points out, that rate is even lower-at 1.8%-for those units not in the 'Upper Tier' (more expensive) rental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NRHA 10: Disputed. NRHA cites Exhibit G to its grant application which does not support its contention that a total of 793 units will be built as part of the CNI Plan nor that 68% of the units will be affordable to TWG residents. The paragraph further does not provide a docket citation or attach as an exhibit a "Housing Plan Revision No. 1." In fact, Exhibit G, to the original application to HUD, states that a total of 709 units would be built, just 200 replacement units, 280 Low Income Housing Tax Credit ("LIHTC") funded units "with no Replacement" and 229 market rates units. ECF No. 160-2 at Bryant_HUDAR_00180. Once more, the application states that "[t]he City and NRHA control multiple valuable sites in the CNI boundary that will enable several first-build off-site and on-site locations for development of 709 mixed-income and replacement units outside the floodplain."</w:t>
      </w:r>
      <w:r>
        <w:rPr>
          <w:rFonts w:ascii="arial" w:eastAsia="arial" w:hAnsi="arial" w:cs="arial"/>
          <w:b/>
          <w:color w:val="000000"/>
          <w:sz w:val="20"/>
          <w:lang w:val="en-US" w:eastAsia="en-US" w:bidi="ar-SA"/>
        </w:rPr>
        <w:t> [*8] </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Bryant_HUDAR_00184. The application identifies four "valuable sites": "1) the Snyder Lot, delivering 130 housing units, 2) the former Police Station site, delivering 36 housing units, 3) the former Red Carpet Inn site delivering 60 housing units, and the Transit Center, delivering 250 housing units."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And the application notes that "[h]aving these prime sites in close proximity to [TWG] and outside the floodplain offers a significant advantage to provide the development team with prime Downtown sites that can facilitate shovel-ready development sites to create a dynamic transformation of the St. Paul's area."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By April 2020, the former Red Carpet site and the former Police Station site were gone from the plan, by December 2020, Snyder Lot was also eliminated.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160-3 at 159:16-161:3; ECF No. 160-13 at 8. They will not even break ground on the construction of the first Transit Centers sites until 2021 or more likely sometime in 2022.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193-2 at PageID #6512. As a practical matter, given construction, at best, those sites will not be ready for lease up until late 2022. It is also noteworthy that NHRA's representations about the number of units</w:t>
      </w:r>
      <w:r>
        <w:rPr>
          <w:rFonts w:ascii="arial" w:eastAsia="arial" w:hAnsi="arial" w:cs="arial"/>
          <w:b/>
          <w:color w:val="000000"/>
          <w:sz w:val="20"/>
          <w:lang w:val="en-US" w:eastAsia="en-US" w:bidi="ar-SA"/>
        </w:rPr>
        <w:t> [*9] </w:t>
      </w:r>
      <w:r>
        <w:rPr>
          <w:rFonts w:ascii="arial" w:eastAsia="arial" w:hAnsi="arial" w:cs="arial"/>
          <w:color w:val="000000"/>
          <w:sz w:val="20"/>
          <w:lang w:val="en-US" w:eastAsia="en-US" w:bidi="ar-SA"/>
        </w:rPr>
        <w:t xml:space="preserve"> that will result from the CNI Plan are internally inconsistent and are also inconsistent with the City's representation. While the City states that 710 units will be developed (252 of which are market rate), ECF No. 221 P 7;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10, NRHA states that 793 will be built, ECF No. 243 P 10. But NRHA also states that "the CNI plan will deliver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959 affordable housing units in Norfolk, and likely in excess of 1, 100." ECF No. 243 at 28 (emphasis in original). The fact is that with all these exaggerated promises, no one has moved back into the redeveloped area, and only a few will have that opportunity sometime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NRHA 11: Disputed. The City states that it "anticipates" 83 off-site replacement units. ECF No. 221 P 7. The City has committed to HUD that it will ensure building of such units but to this date, more than two years after receiving the CNI grant, the City has identified only 23 off site units which have not yet been built. Ex. E, Kownack Dep Tr. at 249:18-250:19. Off-site units must comply with the NOFA. ECF No. 158-2 at NRHA00016793-94.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NRHA 12: Disputed. This contention is technically incorrect and misleading. The vouchers have been increased to 110% of the "Fair Market Rent" not of the "rental fair market rent."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189-4. The contention implies that Tidewater Gardens residents will be able to rent market rent apartments. That is not the case. The Fair Market Rent is set at the 40th percentile of rents in the broader metropolitan region, with newly constructed, luxury developments and some other types of units excluded from</w:t>
      </w:r>
      <w:r>
        <w:rPr>
          <w:rFonts w:ascii="arial" w:eastAsia="arial" w:hAnsi="arial" w:cs="arial"/>
          <w:b/>
          <w:color w:val="000000"/>
          <w:sz w:val="20"/>
          <w:lang w:val="en-US" w:eastAsia="en-US" w:bidi="ar-SA"/>
        </w:rPr>
        <w:t> [*10] </w:t>
      </w:r>
      <w:r>
        <w:rPr>
          <w:rFonts w:ascii="arial" w:eastAsia="arial" w:hAnsi="arial" w:cs="arial"/>
          <w:color w:val="000000"/>
          <w:sz w:val="20"/>
          <w:lang w:val="en-US" w:eastAsia="en-US" w:bidi="ar-SA"/>
        </w:rPr>
        <w:t xml:space="preserve"> the calculation. </w:t>
      </w:r>
      <w:hyperlink r:id="rId46" w:history="1">
        <w:r>
          <w:rPr>
            <w:rFonts w:ascii="arial" w:eastAsia="arial" w:hAnsi="arial" w:cs="arial"/>
            <w:i/>
            <w:color w:val="0077CC"/>
            <w:sz w:val="20"/>
            <w:u w:val="single"/>
            <w:shd w:val="clear" w:color="auto" w:fill="FFFFFF"/>
            <w:lang w:val="en-US" w:eastAsia="en-US" w:bidi="ar-SA"/>
          </w:rPr>
          <w:t>24 C.F.R. § 888.113(a)</w:t>
        </w:r>
      </w:hyperlink>
      <w:r>
        <w:rPr>
          <w:rFonts w:ascii="arial" w:eastAsia="arial" w:hAnsi="arial" w:cs="arial"/>
          <w:color w:val="000000"/>
          <w:sz w:val="20"/>
          <w:lang w:val="en-US" w:eastAsia="en-US" w:bidi="ar-SA"/>
        </w:rPr>
        <w:t xml:space="preserve">. As HUD acknowledged through its Small Area Fair Market Rent regulation, region-wide Fair Market Rents are often inadequate to enable HCV tenants to rent units in higher opportunity areas. Establishing a More Effective Fair Market Rent System; Using Small Area Fair Market Rents in the Housing Choice Voucher Program Instead oof the Current 50th Percentile FMRs, </w:t>
      </w:r>
      <w:r>
        <w:rPr>
          <w:rFonts w:ascii="arial" w:eastAsia="arial" w:hAnsi="arial" w:cs="arial"/>
          <w:i/>
          <w:color w:val="000000"/>
          <w:sz w:val="20"/>
          <w:lang w:val="en-US" w:eastAsia="en-US" w:bidi="ar-SA"/>
        </w:rPr>
        <w:t>81 Fed. Reg. 80,567, 80,567-68</w:t>
      </w:r>
      <w:r>
        <w:rPr>
          <w:rFonts w:ascii="arial" w:eastAsia="arial" w:hAnsi="arial" w:cs="arial"/>
          <w:color w:val="000000"/>
          <w:sz w:val="20"/>
          <w:lang w:val="en-US" w:eastAsia="en-US" w:bidi="ar-SA"/>
        </w:rPr>
        <w:t xml:space="preserve"> (Nov. 16, 2016). Additionally, the data that HUD uses to calculate Fair Market Rents is out-of-date and does not accurately capture recent rent increases because it uses the most recent American Community Survey data, which is available in rolling five-year samples. </w:t>
      </w:r>
      <w:hyperlink r:id="rId46" w:history="1">
        <w:r>
          <w:rPr>
            <w:rFonts w:ascii="arial" w:eastAsia="arial" w:hAnsi="arial" w:cs="arial"/>
            <w:i/>
            <w:color w:val="0077CC"/>
            <w:sz w:val="20"/>
            <w:u w:val="single"/>
            <w:shd w:val="clear" w:color="auto" w:fill="FFFFFF"/>
            <w:lang w:val="en-US" w:eastAsia="en-US" w:bidi="ar-SA"/>
          </w:rPr>
          <w:t>24 C.F.R. § 888.113(e)(1)(i)</w:t>
        </w:r>
      </w:hyperlink>
      <w:r>
        <w:rPr>
          <w:rFonts w:ascii="arial" w:eastAsia="arial" w:hAnsi="arial" w:cs="arial"/>
          <w:color w:val="000000"/>
          <w:sz w:val="20"/>
          <w:lang w:val="en-US" w:eastAsia="en-US" w:bidi="ar-SA"/>
        </w:rPr>
        <w:t xml:space="preserve">. Lastly, notwithstanding recent changes in Virginia law, discrimination against HCV tenants by landlords in predominantly White neighborhoods is widespread.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NRHA 13: Disputed. Plaintiffs Alternative Plan is set forth in its Memorandum in Support of its Motion for Preliminary Injunction, ECF No. 158 at 18-21, and Benjamin Warnke's Report and Reply Report,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ECF No. 160-21; ECF No. 160-22.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NRHA 14: Disputed. Although Warnke testified that he has not previously worked on</w:t>
      </w:r>
      <w:r>
        <w:rPr>
          <w:rFonts w:ascii="arial" w:eastAsia="arial" w:hAnsi="arial" w:cs="arial"/>
          <w:b/>
          <w:color w:val="000000"/>
          <w:sz w:val="20"/>
          <w:lang w:val="en-US" w:eastAsia="en-US" w:bidi="ar-SA"/>
        </w:rPr>
        <w:t> [*11] </w:t>
      </w:r>
      <w:r>
        <w:rPr>
          <w:rFonts w:ascii="arial" w:eastAsia="arial" w:hAnsi="arial" w:cs="arial"/>
          <w:color w:val="000000"/>
          <w:sz w:val="20"/>
          <w:lang w:val="en-US" w:eastAsia="en-US" w:bidi="ar-SA"/>
        </w:rPr>
        <w:t xml:space="preserve"> a CNI project, his declaration in support of his expert opinions clearly lays out his experience with urban development and planning.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160-21 at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NRHA 15: Disputed. Warnke, in fact, did provide a cost estimate for his proposed project of $ 34 million, ECF No. 243-1 at 20:8-12, and explained that although "[t]here are costs associated with building higher . . . those costs do not outweigh the savings," ECF No. 160-21 at 13. Moreover, although Warnke has not procured tax credits from the state of Virginia, he explained that because "[i]t's a federal program" his "familiarity [with similar processes in other states] is not meaningless." Ex. F, Warnke Dep. Tr. at 67:9-13.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NRHA 16: Disputed. While Plaintiff's Alternative Plan includes Virginia Housing making multiple tax credit awards in the same year for the same project, that has been shown to be feasible, and was actually the recommendation given by defense experts  </w:t>
      </w:r>
      <w:r>
        <w:rPr>
          <w:rFonts w:ascii="arial" w:eastAsia="arial" w:hAnsi="arial" w:cs="arial"/>
          <w:i/>
          <w:color w:val="000000"/>
          <w:sz w:val="20"/>
          <w:lang w:val="en-US" w:eastAsia="en-US" w:bidi="ar-SA"/>
        </w:rPr>
        <w:t>. See</w:t>
      </w:r>
      <w:r>
        <w:rPr>
          <w:rFonts w:ascii="arial" w:eastAsia="arial" w:hAnsi="arial" w:cs="arial"/>
          <w:color w:val="000000"/>
          <w:sz w:val="20"/>
          <w:lang w:val="en-US" w:eastAsia="en-US" w:bidi="ar-SA"/>
        </w:rPr>
        <w:t xml:space="preserve"> ECF No. 193-5 at 332:6-18, 335:21-336:17 (acknowledging that "tax credit funding is a really important source" and he recommended that Local Defendants "should . . .be looking all the pools and figuring out which pools to jump into and</w:t>
      </w:r>
      <w:r>
        <w:rPr>
          <w:rFonts w:ascii="arial" w:eastAsia="arial" w:hAnsi="arial" w:cs="arial"/>
          <w:b/>
          <w:color w:val="000000"/>
          <w:sz w:val="20"/>
          <w:lang w:val="en-US" w:eastAsia="en-US" w:bidi="ar-SA"/>
        </w:rPr>
        <w:t> [*12] </w:t>
      </w:r>
      <w:r>
        <w:rPr>
          <w:rFonts w:ascii="arial" w:eastAsia="arial" w:hAnsi="arial" w:cs="arial"/>
          <w:color w:val="000000"/>
          <w:sz w:val="20"/>
          <w:lang w:val="en-US" w:eastAsia="en-US" w:bidi="ar-SA"/>
        </w:rPr>
        <w:t xml:space="preserve"> to get the most tax credits").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NRHA 17: Disputed. In fact, Warnke testified with regard to bonds needed for his proposed alternative that "the requirement is that the bonds cover at least 50 percent of the development costs, and then that's reduced during the permanent phase by the amount that the project can carry from its rent roll." ECF No. 243-1 at 24:17-25. As Warnke explained, the bond amount is "routinely discerned as part of the feasibility and predevelopment period."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24:24-25.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 SUMF 20: Disputed. The NRHA mischaracterizes the Letter. In fact, this Court stated that the Letter "construed Plaintiffs' legal positions in the instant FHA suit in a negative and, at times, false or misleading light," and "it can plausibly be construed to 'coerce, intimidate, threaten, or interfere with' Plaintiffs' or other residents' exercise of FHA rights." ECF No. 125 at 9 (internal quotations omitted);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ECF 227 at 42-45.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NRHA 23: Disputed. Mr. Sprately spoke with Lateefah Bryum about the redevelopment. Ex. G, Sprately Dep. Tr. at 59:12-14. Also, Mr. Sprately attended meetings of Plaintiff Residents of St. Paul's Quadrant Tenant Group (the "Tenant Group"),</w:t>
      </w:r>
      <w:r>
        <w:rPr>
          <w:rFonts w:ascii="arial" w:eastAsia="arial" w:hAnsi="arial" w:cs="arial"/>
          <w:b/>
          <w:color w:val="000000"/>
          <w:sz w:val="20"/>
          <w:lang w:val="en-US" w:eastAsia="en-US" w:bidi="ar-SA"/>
        </w:rPr>
        <w:t> [*13] </w:t>
      </w:r>
      <w:r>
        <w:rPr>
          <w:rFonts w:ascii="arial" w:eastAsia="arial" w:hAnsi="arial" w:cs="arial"/>
          <w:color w:val="000000"/>
          <w:sz w:val="20"/>
          <w:lang w:val="en-US" w:eastAsia="en-US" w:bidi="ar-SA"/>
        </w:rPr>
        <w:t xml:space="preserve"> but he could not remember if redevelopment efforts were discussed.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73:15-74:8.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LEGAL STANDARD</w:t>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"Summary judgment is appropriate only when 'there is no genuine issue as to any material fact and the moving party is entitled to a judgment as a matter of law.'"   </w:t>
      </w:r>
      <w:hyperlink r:id="rId47" w:history="1">
        <w:r>
          <w:rPr>
            <w:rFonts w:ascii="arial" w:eastAsia="arial" w:hAnsi="arial" w:cs="arial"/>
            <w:i/>
            <w:color w:val="0077CC"/>
            <w:sz w:val="20"/>
            <w:u w:val="single"/>
            <w:shd w:val="clear" w:color="auto" w:fill="FFFFFF"/>
            <w:lang w:val="en-US" w:eastAsia="en-US" w:bidi="ar-SA"/>
          </w:rPr>
          <w:t>Evans v. Techs. Applications &amp; Serv. Co.</w:t>
        </w:r>
      </w:hyperlink>
      <w:hyperlink r:id="rId47" w:history="1">
        <w:r>
          <w:rPr>
            <w:rFonts w:ascii="arial" w:eastAsia="arial" w:hAnsi="arial" w:cs="arial"/>
            <w:i/>
            <w:color w:val="0077CC"/>
            <w:sz w:val="20"/>
            <w:u w:val="single"/>
            <w:shd w:val="clear" w:color="auto" w:fill="FFFFFF"/>
            <w:lang w:val="en-US" w:eastAsia="en-US" w:bidi="ar-SA"/>
          </w:rPr>
          <w:t>, 80 F.3d 954, 958 (4th Cir. 1996)</w:t>
        </w:r>
      </w:hyperlink>
      <w:r>
        <w:rPr>
          <w:rFonts w:ascii="arial" w:eastAsia="arial" w:hAnsi="arial" w:cs="arial"/>
          <w:color w:val="000000"/>
          <w:sz w:val="20"/>
          <w:lang w:val="en-US" w:eastAsia="en-US" w:bidi="ar-SA"/>
        </w:rPr>
        <w:t xml:space="preserve"> (quoting </w:t>
      </w:r>
      <w:hyperlink r:id="rId48" w:history="1">
        <w:r>
          <w:rPr>
            <w:rFonts w:ascii="arial" w:eastAsia="arial" w:hAnsi="arial" w:cs="arial"/>
            <w:i/>
            <w:color w:val="0077CC"/>
            <w:sz w:val="20"/>
            <w:u w:val="single"/>
            <w:shd w:val="clear" w:color="auto" w:fill="FFFFFF"/>
            <w:lang w:val="en-US" w:eastAsia="en-US" w:bidi="ar-SA"/>
          </w:rPr>
          <w:t>Fed. R. Civ. P. 56(c)</w:t>
        </w:r>
      </w:hyperlink>
      <w:r>
        <w:rPr>
          <w:rFonts w:ascii="arial" w:eastAsia="arial" w:hAnsi="arial" w:cs="arial"/>
          <w:color w:val="000000"/>
          <w:sz w:val="20"/>
          <w:lang w:val="en-US" w:eastAsia="en-US" w:bidi="ar-SA"/>
        </w:rPr>
        <w:t xml:space="preserve">). "A dispute is genuine if a reasonable jury could return a verdict for the nonmoving party."   </w:t>
      </w:r>
      <w:hyperlink r:id="rId49" w:history="1">
        <w:r>
          <w:rPr>
            <w:rFonts w:ascii="arial" w:eastAsia="arial" w:hAnsi="arial" w:cs="arial"/>
            <w:i/>
            <w:color w:val="0077CC"/>
            <w:sz w:val="20"/>
            <w:u w:val="single"/>
            <w:shd w:val="clear" w:color="auto" w:fill="FFFFFF"/>
            <w:lang w:val="en-US" w:eastAsia="en-US" w:bidi="ar-SA"/>
          </w:rPr>
          <w:t>Jacobs v. N.C. Admin. Off. of the Cts.</w:t>
        </w:r>
      </w:hyperlink>
      <w:hyperlink r:id="rId49" w:history="1">
        <w:r>
          <w:rPr>
            <w:rFonts w:ascii="arial" w:eastAsia="arial" w:hAnsi="arial" w:cs="arial"/>
            <w:i/>
            <w:color w:val="0077CC"/>
            <w:sz w:val="20"/>
            <w:u w:val="single"/>
            <w:shd w:val="clear" w:color="auto" w:fill="FFFFFF"/>
            <w:lang w:val="en-US" w:eastAsia="en-US" w:bidi="ar-SA"/>
          </w:rPr>
          <w:t>, 780 F.3d 562, 568 (4th Cir. 2015)</w:t>
        </w:r>
      </w:hyperlink>
      <w:r>
        <w:rPr>
          <w:rFonts w:ascii="arial" w:eastAsia="arial" w:hAnsi="arial" w:cs="arial"/>
          <w:color w:val="000000"/>
          <w:sz w:val="20"/>
          <w:lang w:val="en-US" w:eastAsia="en-US" w:bidi="ar-SA"/>
        </w:rPr>
        <w:t xml:space="preserve"> (internal quotations omitted). "A fact is material if it might affect the outcome of the suit under the governing law."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(internal quotations omitted). On a motion for summary judgment, the district court must view the facts and all justifiable inferences in the light most favorable to the nonmoving party.   </w:t>
      </w:r>
      <w:r>
        <w:rPr>
          <w:rFonts w:ascii="arial" w:eastAsia="arial" w:hAnsi="arial" w:cs="arial"/>
          <w:i/>
          <w:color w:val="000000"/>
          <w:sz w:val="20"/>
          <w:lang w:val="en-US" w:eastAsia="en-US" w:bidi="ar-SA"/>
        </w:rPr>
        <w:t>Cole v. Wake Cnty. Bd. of Educ.</w:t>
      </w:r>
      <w:r>
        <w:rPr>
          <w:rFonts w:ascii="arial" w:eastAsia="arial" w:hAnsi="arial" w:cs="arial"/>
          <w:i/>
          <w:color w:val="000000"/>
          <w:sz w:val="20"/>
          <w:lang w:val="en-US" w:eastAsia="en-US" w:bidi="ar-SA"/>
        </w:rPr>
        <w:t>, 834 F. App'x 820, 821 (4th Cir. 2021)</w:t>
      </w:r>
      <w:r>
        <w:rPr>
          <w:rFonts w:ascii="arial" w:eastAsia="arial" w:hAnsi="arial" w:cs="arial"/>
          <w:color w:val="000000"/>
          <w:sz w:val="20"/>
          <w:lang w:val="en-US" w:eastAsia="en-US" w:bidi="ar-SA"/>
        </w:rPr>
        <w:t xml:space="preserve">. The court cannot weigh the evidence or make credibility determinations.   </w:t>
      </w:r>
      <w:hyperlink r:id="rId49" w:history="1">
        <w:r>
          <w:rPr>
            <w:rFonts w:ascii="arial" w:eastAsia="arial" w:hAnsi="arial" w:cs="arial"/>
            <w:i/>
            <w:color w:val="0077CC"/>
            <w:sz w:val="20"/>
            <w:u w:val="single"/>
            <w:shd w:val="clear" w:color="auto" w:fill="FFFFFF"/>
            <w:lang w:val="en-US" w:eastAsia="en-US" w:bidi="ar-SA"/>
          </w:rPr>
          <w:t>Jacobs</w:t>
        </w:r>
      </w:hyperlink>
      <w:hyperlink r:id="rId49" w:history="1">
        <w:r>
          <w:rPr>
            <w:rFonts w:ascii="arial" w:eastAsia="arial" w:hAnsi="arial" w:cs="arial"/>
            <w:i/>
            <w:color w:val="0077CC"/>
            <w:sz w:val="20"/>
            <w:u w:val="single"/>
            <w:shd w:val="clear" w:color="auto" w:fill="FFFFFF"/>
            <w:lang w:val="en-US" w:eastAsia="en-US" w:bidi="ar-SA"/>
          </w:rPr>
          <w:t>, 780 F.3d at 568-69</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ARGUMENT</w:t>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   </w:t>
      </w:r>
      <w:r>
        <w:rPr>
          <w:rFonts w:ascii="arial" w:eastAsia="arial" w:hAnsi="arial" w:cs="arial"/>
          <w:b/>
          <w:color w:val="000000"/>
          <w:sz w:val="20"/>
          <w:lang w:val="en-US" w:eastAsia="en-US" w:bidi="ar-SA"/>
        </w:rPr>
        <w:t xml:space="preserve"> PLAINTIFFS HAVE STANDING TO ASSERT BOTH DISPARATE IMPACT AND RETALIATION CLAIMS UNDER THE FHA AGAINST NRHA.</w:t>
      </w:r>
      <w:r>
        <w:rPr>
          <w:rFonts w:ascii="arial" w:eastAsia="arial" w:hAnsi="arial" w:cs="arial"/>
          <w:b/>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NRHA's challenge to Plaintiffs' standing is two-fold. First, NRHA alleges that Plaintiffs failed to identify any specific damages</w:t>
      </w:r>
      <w:r>
        <w:rPr>
          <w:rFonts w:ascii="arial" w:eastAsia="arial" w:hAnsi="arial" w:cs="arial"/>
          <w:b/>
          <w:color w:val="000000"/>
          <w:sz w:val="20"/>
          <w:lang w:val="en-US" w:eastAsia="en-US" w:bidi="ar-SA"/>
        </w:rPr>
        <w:t> [*14] </w:t>
      </w:r>
      <w:r>
        <w:rPr>
          <w:rFonts w:ascii="arial" w:eastAsia="arial" w:hAnsi="arial" w:cs="arial"/>
          <w:color w:val="000000"/>
          <w:sz w:val="20"/>
          <w:lang w:val="en-US" w:eastAsia="en-US" w:bidi="ar-SA"/>
        </w:rPr>
        <w:t xml:space="preserve"> in their Rule 26(a) disclosures or otherwise in discovery. ECF No. 243 at 9 (citing </w:t>
      </w:r>
      <w:hyperlink r:id="rId50" w:history="1">
        <w:r>
          <w:rPr>
            <w:rFonts w:ascii="arial" w:eastAsia="arial" w:hAnsi="arial" w:cs="arial"/>
            <w:i/>
            <w:color w:val="0077CC"/>
            <w:sz w:val="20"/>
            <w:u w:val="single"/>
            <w:shd w:val="clear" w:color="auto" w:fill="FFFFFF"/>
            <w:lang w:val="en-US" w:eastAsia="en-US" w:bidi="ar-SA"/>
          </w:rPr>
          <w:t>Fed. R. Civ. P. 26(a)(1)(A)(iii)</w:t>
        </w:r>
      </w:hyperlink>
      <w:r>
        <w:rPr>
          <w:rFonts w:ascii="arial" w:eastAsia="arial" w:hAnsi="arial" w:cs="arial"/>
          <w:color w:val="000000"/>
          <w:sz w:val="20"/>
          <w:lang w:val="en-US" w:eastAsia="en-US" w:bidi="ar-SA"/>
        </w:rPr>
        <w:t xml:space="preserve">). Second, NRHA alleges that none of the Plaintiffs have suffered a concrete harm as a result of the Redevelopment Plan or the August 27, 2020 letter delivered to all TWG residents signed by NRHA Executive Director Ronald Jackson (ECF No. 128-1) (the "Letter").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10-14. NRHA's first argument ignores-and the cases it cites are inapposite because-Plaintiffs do not seek only compensatory damages in this matter. Indeed, the Amended Complaint primarily seeks equitable remedies-both injunctive relief and a declaratory judgment.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128 at 54-56. It is well-settled law that the computation requirement under Federal Rule 26(a)(1)(A)(iii) does not extend to equitable remedies.   </w:t>
      </w:r>
      <w:r>
        <w:rPr>
          <w:rFonts w:ascii="arial" w:eastAsia="arial" w:hAnsi="arial" w:cs="arial"/>
          <w:i/>
          <w:color w:val="000000"/>
          <w:sz w:val="20"/>
          <w:lang w:val="en-US" w:eastAsia="en-US" w:bidi="ar-SA"/>
        </w:rPr>
        <w:t>See Scott v. City of Phoenix</w:t>
      </w:r>
      <w:r>
        <w:rPr>
          <w:rFonts w:ascii="arial" w:eastAsia="arial" w:hAnsi="arial" w:cs="arial"/>
          <w:color w:val="000000"/>
          <w:sz w:val="20"/>
          <w:lang w:val="en-US" w:eastAsia="en-US" w:bidi="ar-SA"/>
        </w:rPr>
        <w:t>, No. CV-09-0875-</w:t>
      </w:r>
      <w:hyperlink r:id="rId51" w:history="1">
        <w:r>
          <w:rPr>
            <w:rFonts w:ascii="arial" w:eastAsia="arial" w:hAnsi="arial" w:cs="arial"/>
            <w:i/>
            <w:color w:val="0077CC"/>
            <w:sz w:val="20"/>
            <w:u w:val="single"/>
            <w:shd w:val="clear" w:color="auto" w:fill="FFFFFF"/>
            <w:lang w:val="en-US" w:eastAsia="en-US" w:bidi="ar-SA"/>
          </w:rPr>
          <w:t>PHX-JAT, 2011 WL 1085992, at *4 (D. Ariz. Mar. 24, 2011)</w:t>
        </w:r>
      </w:hyperlink>
      <w:r>
        <w:rPr>
          <w:rFonts w:ascii="arial" w:eastAsia="arial" w:hAnsi="arial" w:cs="arial"/>
          <w:color w:val="000000"/>
          <w:sz w:val="20"/>
          <w:lang w:val="en-US" w:eastAsia="en-US" w:bidi="ar-SA"/>
        </w:rPr>
        <w:t xml:space="preserve"> ("because these equitable remedies [declaratory judgment and injunctive relief] are not subject to 'computation' in initial disclosures, Plaintiffs is not precluded by Rule 37(c)(1) from relying on these equitable remedies in its response to Defendants' Motion for Summary Judgment");   </w:t>
      </w:r>
      <w:r>
        <w:rPr>
          <w:rFonts w:ascii="arial" w:eastAsia="arial" w:hAnsi="arial" w:cs="arial"/>
          <w:i/>
          <w:color w:val="000000"/>
          <w:sz w:val="20"/>
          <w:lang w:val="en-US" w:eastAsia="en-US" w:bidi="ar-SA"/>
        </w:rPr>
        <w:t>see also City of Huntington v. AmerisourceBergen Drug Corp.</w:t>
      </w:r>
      <w:r>
        <w:rPr>
          <w:rFonts w:ascii="arial" w:eastAsia="arial" w:hAnsi="arial" w:cs="arial"/>
          <w:color w:val="000000"/>
          <w:sz w:val="20"/>
          <w:lang w:val="en-US" w:eastAsia="en-US" w:bidi="ar-SA"/>
        </w:rPr>
        <w:t xml:space="preserve">, No. CV 3:17-01362, </w:t>
      </w:r>
      <w:hyperlink r:id="rId52" w:history="1">
        <w:r>
          <w:rPr>
            <w:rFonts w:ascii="arial" w:eastAsia="arial" w:hAnsi="arial" w:cs="arial"/>
            <w:i/>
            <w:color w:val="0077CC"/>
            <w:sz w:val="20"/>
            <w:u w:val="single"/>
            <w:shd w:val="clear" w:color="auto" w:fill="FFFFFF"/>
            <w:lang w:val="en-US" w:eastAsia="en-US" w:bidi="ar-SA"/>
          </w:rPr>
          <w:t>2020 WL 4589716, at *3 (S.D.W. Va. Aug. 10, 2020)</w:t>
        </w:r>
      </w:hyperlink>
      <w:r>
        <w:rPr>
          <w:rFonts w:ascii="arial" w:eastAsia="arial" w:hAnsi="arial" w:cs="arial"/>
          <w:color w:val="000000"/>
          <w:sz w:val="20"/>
          <w:lang w:val="en-US" w:eastAsia="en-US" w:bidi="ar-SA"/>
        </w:rPr>
        <w:t xml:space="preserve"> ("an equitable remedy . . . is not subject to the computation requirements of Rule 26");   </w:t>
      </w:r>
      <w:r>
        <w:rPr>
          <w:rFonts w:ascii="arial" w:eastAsia="arial" w:hAnsi="arial" w:cs="arial"/>
          <w:i/>
          <w:color w:val="000000"/>
          <w:sz w:val="20"/>
          <w:lang w:val="en-US" w:eastAsia="en-US" w:bidi="ar-SA"/>
        </w:rPr>
        <w:t>S.E.C. v. Razmilovic</w:t>
      </w:r>
      <w:r>
        <w:rPr>
          <w:rFonts w:ascii="arial" w:eastAsia="arial" w:hAnsi="arial" w:cs="arial"/>
          <w:color w:val="000000"/>
          <w:sz w:val="20"/>
          <w:lang w:val="en-US" w:eastAsia="en-US" w:bidi="ar-SA"/>
        </w:rPr>
        <w:t>, No. CV-04-2276 (</w:t>
      </w:r>
      <w:hyperlink r:id="rId53" w:history="1">
        <w:r>
          <w:rPr>
            <w:rFonts w:ascii="arial" w:eastAsia="arial" w:hAnsi="arial" w:cs="arial"/>
            <w:i/>
            <w:color w:val="0077CC"/>
            <w:sz w:val="20"/>
            <w:u w:val="single"/>
            <w:shd w:val="clear" w:color="auto" w:fill="FFFFFF"/>
            <w:lang w:val="en-US" w:eastAsia="en-US" w:bidi="ar-SA"/>
          </w:rPr>
          <w:t>SJF)(WDW), 2010 WL 2540762, at *2 (E.D.N.Y. June 14, 2010)</w:t>
        </w:r>
      </w:hyperlink>
      <w:r>
        <w:rPr>
          <w:rFonts w:ascii="arial" w:eastAsia="arial" w:hAnsi="arial" w:cs="arial"/>
          <w:color w:val="000000"/>
          <w:sz w:val="20"/>
          <w:lang w:val="en-US" w:eastAsia="en-US" w:bidi="ar-SA"/>
        </w:rPr>
        <w:t xml:space="preserve"> (disclosure requirement of Rule 26(a)(1)(A)(iii) "inapplicable to . . . remedies [that] were not 'damages'"). Thus, the fact that Plaintiffs did not provide a compensatory damages calculation has no impact on the equitable remedies Plaintiffs seek and certainly does not merit summary judgment, as NRHA erroneously suggests.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the record evidence establishes that each Plaintiff has suffered a concrete harm sufficient to establish standing. As this Court previously recognized, "the Supreme Court has interpreted standing under the FHA expansively, holding that standing should be defined as broadly as allowable under Article III of the Constitution."   </w:t>
      </w:r>
      <w:r>
        <w:rPr>
          <w:rFonts w:ascii="arial" w:eastAsia="arial" w:hAnsi="arial" w:cs="arial"/>
          <w:i/>
          <w:color w:val="000000"/>
          <w:sz w:val="20"/>
          <w:lang w:val="en-US" w:eastAsia="en-US" w:bidi="ar-SA"/>
        </w:rPr>
        <w:t>Bryant v. City of Norfolk</w:t>
      </w:r>
      <w:r>
        <w:rPr>
          <w:rFonts w:ascii="arial" w:eastAsia="arial" w:hAnsi="arial" w:cs="arial"/>
          <w:color w:val="000000"/>
          <w:sz w:val="20"/>
          <w:lang w:val="en-US" w:eastAsia="en-US" w:bidi="ar-SA"/>
        </w:rPr>
        <w:t xml:space="preserve">, No. 2:20CV26 </w:t>
      </w:r>
      <w:hyperlink r:id="rId54" w:history="1">
        <w:r>
          <w:rPr>
            <w:rFonts w:ascii="arial" w:eastAsia="arial" w:hAnsi="arial" w:cs="arial"/>
            <w:i/>
            <w:color w:val="0077CC"/>
            <w:sz w:val="20"/>
            <w:u w:val="single"/>
            <w:shd w:val="clear" w:color="auto" w:fill="FFFFFF"/>
            <w:lang w:val="en-US" w:eastAsia="en-US" w:bidi="ar-SA"/>
          </w:rPr>
          <w:t>(RCY), 2021 WL 765405, at *5 (E.D. Va. Feb. 26, 2021)</w:t>
        </w:r>
      </w:hyperlink>
      <w:r>
        <w:rPr>
          <w:rFonts w:ascii="arial" w:eastAsia="arial" w:hAnsi="arial" w:cs="arial"/>
          <w:color w:val="000000"/>
          <w:sz w:val="20"/>
          <w:lang w:val="en-US" w:eastAsia="en-US" w:bidi="ar-SA"/>
        </w:rPr>
        <w:t xml:space="preserve"> (internal citation omitted). NRHA's reliance on the Supreme Court's recent decision in   </w:t>
      </w:r>
      <w:hyperlink r:id="rId55" w:history="1">
        <w:r>
          <w:rPr>
            <w:rFonts w:ascii="arial" w:eastAsia="arial" w:hAnsi="arial" w:cs="arial"/>
            <w:i/>
            <w:color w:val="0077CC"/>
            <w:sz w:val="20"/>
            <w:u w:val="single"/>
            <w:shd w:val="clear" w:color="auto" w:fill="FFFFFF"/>
            <w:lang w:val="en-US" w:eastAsia="en-US" w:bidi="ar-SA"/>
          </w:rPr>
          <w:t>TransUnion LLC v. Ramirez</w:t>
        </w:r>
      </w:hyperlink>
      <w:hyperlink r:id="rId55" w:history="1">
        <w:r>
          <w:rPr>
            <w:rFonts w:ascii="arial" w:eastAsia="arial" w:hAnsi="arial" w:cs="arial"/>
            <w:i/>
            <w:color w:val="0077CC"/>
            <w:sz w:val="20"/>
            <w:u w:val="single"/>
            <w:shd w:val="clear" w:color="auto" w:fill="FFFFFF"/>
            <w:lang w:val="en-US" w:eastAsia="en-US" w:bidi="ar-SA"/>
          </w:rPr>
          <w:t>, 141 S. Ct. 2190 (2021)</w:t>
        </w:r>
      </w:hyperlink>
      <w:r>
        <w:rPr>
          <w:rFonts w:ascii="arial" w:eastAsia="arial" w:hAnsi="arial" w:cs="arial"/>
          <w:color w:val="000000"/>
          <w:sz w:val="20"/>
          <w:lang w:val="en-US" w:eastAsia="en-US" w:bidi="ar-SA"/>
        </w:rPr>
        <w:t xml:space="preserve">, is fitting, as the decision affirms that the harm caused by the Letter is concrete for purposes of Article III standing. In   </w:t>
      </w:r>
      <w:r>
        <w:rPr>
          <w:rFonts w:ascii="arial" w:eastAsia="arial" w:hAnsi="arial" w:cs="arial"/>
          <w:i/>
          <w:color w:val="000000"/>
          <w:sz w:val="20"/>
          <w:lang w:val="en-US" w:eastAsia="en-US" w:bidi="ar-SA"/>
        </w:rPr>
        <w:t>TransUnion</w:t>
      </w:r>
      <w:r>
        <w:rPr>
          <w:rFonts w:ascii="arial" w:eastAsia="arial" w:hAnsi="arial" w:cs="arial"/>
          <w:color w:val="000000"/>
          <w:sz w:val="20"/>
          <w:lang w:val="en-US" w:eastAsia="en-US" w:bidi="ar-SA"/>
        </w:rPr>
        <w:t>, the Supreme Court reaffirmed that, in addition to physical or monetary injury,</w:t>
      </w:r>
      <w:r>
        <w:rPr>
          <w:rFonts w:ascii="arial" w:eastAsia="arial" w:hAnsi="arial" w:cs="arial"/>
          <w:b/>
          <w:color w:val="000000"/>
          <w:sz w:val="20"/>
          <w:lang w:val="en-US" w:eastAsia="en-US" w:bidi="ar-SA"/>
        </w:rPr>
        <w:t> [*15] </w:t>
      </w:r>
      <w:r>
        <w:rPr>
          <w:rFonts w:ascii="arial" w:eastAsia="arial" w:hAnsi="arial" w:cs="arial"/>
          <w:color w:val="000000"/>
          <w:sz w:val="20"/>
          <w:lang w:val="en-US" w:eastAsia="en-US" w:bidi="ar-SA"/>
        </w:rPr>
        <w:t xml:space="preserve"> "[v]arious intangible harms can also be concrete," including "for example, reputational harms, disclosure of private information, and intrusion upon seclusion."   </w:t>
      </w:r>
      <w:hyperlink r:id="rId55" w:history="1">
        <w:r>
          <w:rPr>
            <w:rFonts w:ascii="arial" w:eastAsia="arial" w:hAnsi="arial" w:cs="arial"/>
            <w:i/>
            <w:color w:val="0077CC"/>
            <w:sz w:val="20"/>
            <w:u w:val="single"/>
            <w:shd w:val="clear" w:color="auto" w:fill="FFFFFF"/>
            <w:lang w:val="en-US" w:eastAsia="en-US" w:bidi="ar-SA"/>
          </w:rPr>
          <w:t>Id.</w:t>
        </w:r>
      </w:hyperlink>
      <w:hyperlink r:id="rId55" w:history="1">
        <w:r>
          <w:rPr>
            <w:rFonts w:ascii="arial" w:eastAsia="arial" w:hAnsi="arial" w:cs="arial"/>
            <w:i/>
            <w:color w:val="0077CC"/>
            <w:sz w:val="20"/>
            <w:u w:val="single"/>
            <w:shd w:val="clear" w:color="auto" w:fill="FFFFFF"/>
            <w:lang w:val="en-US" w:eastAsia="en-US" w:bidi="ar-SA"/>
          </w:rPr>
          <w:t xml:space="preserve"> at 2204</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precisely the harm suffered by Plaintiffs as a result of the retaliatory Letter.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128 PP 163-64 (alleging that NRHA and Jackson "sought to capitalize on residents' fears to drive a wedge between Plaintiffs and the rest of their community");   </w:t>
      </w:r>
      <w:hyperlink r:id="rId56" w:history="1">
        <w:r>
          <w:rPr>
            <w:rFonts w:ascii="arial" w:eastAsia="arial" w:hAnsi="arial" w:cs="arial"/>
            <w:i/>
            <w:color w:val="0077CC"/>
            <w:sz w:val="20"/>
            <w:u w:val="single"/>
            <w:shd w:val="clear" w:color="auto" w:fill="FFFFFF"/>
            <w:lang w:val="en-US" w:eastAsia="en-US" w:bidi="ar-SA"/>
          </w:rPr>
          <w:t>id</w:t>
        </w:r>
      </w:hyperlink>
      <w:hyperlink r:id="rId56" w:history="1">
        <w:r>
          <w:rPr>
            <w:rFonts w:ascii="arial" w:eastAsia="arial" w:hAnsi="arial" w:cs="arial"/>
            <w:i/>
            <w:color w:val="0077CC"/>
            <w:sz w:val="20"/>
            <w:u w:val="single"/>
            <w:shd w:val="clear" w:color="auto" w:fill="FFFFFF"/>
            <w:lang w:val="en-US" w:eastAsia="en-US" w:bidi="ar-SA"/>
          </w:rPr>
          <w:t>. P 168</w:t>
        </w:r>
      </w:hyperlink>
      <w:r>
        <w:rPr>
          <w:rFonts w:ascii="arial" w:eastAsia="arial" w:hAnsi="arial" w:cs="arial"/>
          <w:color w:val="000000"/>
          <w:sz w:val="20"/>
          <w:lang w:val="en-US" w:eastAsia="en-US" w:bidi="ar-SA"/>
        </w:rPr>
        <w:t xml:space="preserve"> (alleging that the Letter "coerces, intimidates, threatens, and/or interferes with the rest of the [TWG] residents in asserting their individual rights under the [FHA] or their aiding and encouraging Plaintiffs in asserting their rights under the [FHA]"). Crucially, NRHA does not dispute that the Letter had the chilling effect that was intended-none of the Individual Plaintiffs have interacted with other TWG residents following the mailing of the Letter. ECF No. 243 at 11. Thus, Plaintiffs have established a concrete harm to support their claim for retaliation under </w:t>
      </w:r>
      <w:hyperlink r:id="rId57" w:history="1">
        <w:r>
          <w:rPr>
            <w:rFonts w:ascii="arial" w:eastAsia="arial" w:hAnsi="arial" w:cs="arial"/>
            <w:i/>
            <w:color w:val="0077CC"/>
            <w:sz w:val="20"/>
            <w:u w:val="single"/>
            <w:shd w:val="clear" w:color="auto" w:fill="FFFFFF"/>
            <w:lang w:val="en-US" w:eastAsia="en-US" w:bidi="ar-SA"/>
          </w:rPr>
          <w:t>42 U.S.C. § 3617</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the record is replete with evidence that the Redevelopment Plan has caused Plaintiffs concrete injuries under Article III. As an initial matter,</w:t>
      </w:r>
      <w:r>
        <w:rPr>
          <w:rFonts w:ascii="arial" w:eastAsia="arial" w:hAnsi="arial" w:cs="arial"/>
          <w:b/>
          <w:color w:val="000000"/>
          <w:sz w:val="20"/>
          <w:lang w:val="en-US" w:eastAsia="en-US" w:bidi="ar-SA"/>
        </w:rPr>
        <w:t> [*16] </w:t>
      </w:r>
      <w:r>
        <w:rPr>
          <w:rFonts w:ascii="arial" w:eastAsia="arial" w:hAnsi="arial" w:cs="arial"/>
          <w:color w:val="000000"/>
          <w:sz w:val="20"/>
          <w:lang w:val="en-US" w:eastAsia="en-US" w:bidi="ar-SA"/>
        </w:rPr>
        <w:t xml:space="preserve"> Plaintiffs dispute NRHA's characterization that Individual Plaintiffs simply exercised a choice to move and were not displaced by the Redevelopment Plan. ECF No. 243 at 10. Applying NRHA's logic, no TWG residents have been displaced by the Redevelopment Plan unless they refused to leave and were evicted. That is of course absurd. Given the limited inventory of affordable housing in Norfolk, no TWG resident would choose to risk waiting until eviction to secure replacement housing-even if that housing is in another segregated area of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to Individual Plaintiffs' concrete harm, Brandon Spratley was "pushed out" of TWG and is now located in a food desert and has higher living expenses and a longer commute. ECF No. 155-9 at 55:10-56:25. Evonne Bryant, who now lives in another segregated, high-poverty area of Norfolk after NRHA "push[ed] us out," similarly has a longer commute following her relocation-she takes   </w:t>
      </w:r>
      <w:r>
        <w:rPr>
          <w:rFonts w:ascii="arial" w:eastAsia="arial" w:hAnsi="arial" w:cs="arial"/>
          <w:i/>
          <w:color w:val="000000"/>
          <w:sz w:val="20"/>
          <w:lang w:val="en-US" w:eastAsia="en-US" w:bidi="ar-SA"/>
        </w:rPr>
        <w:t>three</w:t>
      </w:r>
      <w:r>
        <w:rPr>
          <w:rFonts w:ascii="arial" w:eastAsia="arial" w:hAnsi="arial" w:cs="arial"/>
          <w:color w:val="000000"/>
          <w:sz w:val="20"/>
          <w:lang w:val="en-US" w:eastAsia="en-US" w:bidi="ar-SA"/>
        </w:rPr>
        <w:t xml:space="preserve"> buses to travel to and from work. ECF No. 155-10 at 64:16-65:3, 70:12-16, 82:8-11. Sylvia Givens, whose TWG unit was in the first phase of demolition scheduled under the Redevelopment Plan, was forced to move to Calvert Square, another public housing community.</w:t>
      </w:r>
      <w:r>
        <w:rPr>
          <w:rFonts w:ascii="arial" w:eastAsia="arial" w:hAnsi="arial" w:cs="arial"/>
          <w:b/>
          <w:color w:val="000000"/>
          <w:sz w:val="20"/>
          <w:lang w:val="en-US" w:eastAsia="en-US" w:bidi="ar-SA"/>
        </w:rPr>
        <w:t> [*17] </w:t>
      </w:r>
      <w:r>
        <w:rPr>
          <w:rFonts w:ascii="arial" w:eastAsia="arial" w:hAnsi="arial" w:cs="arial"/>
          <w:color w:val="000000"/>
          <w:sz w:val="20"/>
          <w:lang w:val="en-US" w:eastAsia="en-US" w:bidi="ar-SA"/>
        </w:rPr>
        <w:t xml:space="preserve"> ECF No. 155-13 at 15:4-6, 71:12-16, 84:10-13. Ms. Givens was forced to relocate because NRHA intentionally allowed the conditions at TWG to deteriorate in order to make the community "a very undesirable place to live" to encourage residents to relocate. ECF No. 155-8 at 226:7-227:1;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ECF No. 155-13 at 31:21-42:19 (describing squalid conditions at TWG, difficulty obtaining maintenance services, and finally giving up on receiving basic repairs). Conswayla Simmons, the only Individual Plaintiff who is not and has never been a TWG resident, is a Norfolk resident and was deprioritized with respect to the Housing Choice Voucher ("HCV") waiting list as a result of the Redevelopment Plan, including, in particular, Local Defendants' plan to depopulate Calvert Square and Young Terrace in advance of their eventual demolition.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155-14 at NRHA00010404 (discussing reservation of 309 HCVs for TWG residents and plan to reserve additional HCVs for residents of Calvert Square and Young Terrace in the future); ECF No. 155-15 (proposing HCV wait list preference to, inter alia, residents of St. Paul's Public Housing).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Likewise, the Plaintiff Tenant Group has suffered concrete</w:t>
      </w:r>
      <w:r>
        <w:rPr>
          <w:rFonts w:ascii="arial" w:eastAsia="arial" w:hAnsi="arial" w:cs="arial"/>
          <w:b/>
          <w:color w:val="000000"/>
          <w:sz w:val="20"/>
          <w:lang w:val="en-US" w:eastAsia="en-US" w:bidi="ar-SA"/>
        </w:rPr>
        <w:t> [*18] </w:t>
      </w:r>
      <w:r>
        <w:rPr>
          <w:rFonts w:ascii="arial" w:eastAsia="arial" w:hAnsi="arial" w:cs="arial"/>
          <w:color w:val="000000"/>
          <w:sz w:val="20"/>
          <w:lang w:val="en-US" w:eastAsia="en-US" w:bidi="ar-SA"/>
        </w:rPr>
        <w:t xml:space="preserve"> harm under the Redevelopment Plan. The Tenant Group is an informal, voluntary group of residents of three public housing communities in Norfolk (including TWG) who joined together to fight for better housing. ECF No. 128 P 12;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ECF No. 199-2 PP 1, 4 (identifying Karina Rayeford as a TWG resident and member of the Tenant Group); ECF No. 199-3 PP 1, 4 (identifying Zenobia Wilson as a TWG resident and member of the Tenant Group). Under Virginia law, the Tenant Group is an unincorporated association and therefore "not a legal entity separate from the persons who compose it."   </w:t>
      </w:r>
      <w:r>
        <w:rPr>
          <w:rFonts w:ascii="arial" w:eastAsia="arial" w:hAnsi="arial" w:cs="arial"/>
          <w:i/>
          <w:color w:val="000000"/>
          <w:sz w:val="20"/>
          <w:lang w:val="en-US" w:eastAsia="en-US" w:bidi="ar-SA"/>
        </w:rPr>
        <w:t>Bedford Genealogical Soc., Inc. v. Bedford Museum &amp; Genealogical Libr.</w:t>
      </w:r>
      <w:r>
        <w:rPr>
          <w:rFonts w:ascii="arial" w:eastAsia="arial" w:hAnsi="arial" w:cs="arial"/>
          <w:color w:val="000000"/>
          <w:sz w:val="20"/>
          <w:lang w:val="en-US" w:eastAsia="en-US" w:bidi="ar-SA"/>
        </w:rPr>
        <w:t xml:space="preserve">, No. CIV.A. 6:09-CV-00060, </w:t>
      </w:r>
      <w:hyperlink r:id="rId58" w:history="1">
        <w:r>
          <w:rPr>
            <w:rFonts w:ascii="arial" w:eastAsia="arial" w:hAnsi="arial" w:cs="arial"/>
            <w:i/>
            <w:color w:val="0077CC"/>
            <w:sz w:val="20"/>
            <w:u w:val="single"/>
            <w:shd w:val="clear" w:color="auto" w:fill="FFFFFF"/>
            <w:lang w:val="en-US" w:eastAsia="en-US" w:bidi="ar-SA"/>
          </w:rPr>
          <w:t>2010 WL 2038843, at *3 n.4 (W.D. Va. May 21, 2010)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Va. Code § 8.01-15</w:t>
        </w:r>
      </w:hyperlink>
      <w:r>
        <w:rPr>
          <w:rFonts w:ascii="arial" w:eastAsia="arial" w:hAnsi="arial" w:cs="arial"/>
          <w:color w:val="000000"/>
          <w:sz w:val="20"/>
          <w:lang w:val="en-US" w:eastAsia="en-US" w:bidi="ar-SA"/>
        </w:rPr>
        <w:t xml:space="preserve"> ("All unincorporated associations ... may sue or be sued under the name by which they are commonly known and called..."). Thus, the Tenant Group has standing by virtue of the concrete harm suffered by its members who are TWG residents (including Ms. Rayeford and Ms. Wilson)-who have been or will be forced to relocate under the Redevelopment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span of a single paragraph, NRHA incorrectly argues that Plaintiff New Virginia Majority has not suffered an injury in fact because the organization "chose to divert its resources, away from its mission of climate justice, to oppose the [Redevelopment Plan]" and, under   </w:t>
      </w:r>
      <w:hyperlink r:id="rId60" w:history="1">
        <w:r>
          <w:rPr>
            <w:rFonts w:ascii="arial" w:eastAsia="arial" w:hAnsi="arial" w:cs="arial"/>
            <w:i/>
            <w:color w:val="0077CC"/>
            <w:sz w:val="20"/>
            <w:u w:val="single"/>
            <w:shd w:val="clear" w:color="auto" w:fill="FFFFFF"/>
            <w:lang w:val="en-US" w:eastAsia="en-US" w:bidi="ar-SA"/>
          </w:rPr>
          <w:t>Lane v. Holder</w:t>
        </w:r>
      </w:hyperlink>
      <w:hyperlink r:id="rId60" w:history="1">
        <w:r>
          <w:rPr>
            <w:rFonts w:ascii="arial" w:eastAsia="arial" w:hAnsi="arial" w:cs="arial"/>
            <w:i/>
            <w:color w:val="0077CC"/>
            <w:sz w:val="20"/>
            <w:u w:val="single"/>
            <w:shd w:val="clear" w:color="auto" w:fill="FFFFFF"/>
            <w:lang w:val="en-US" w:eastAsia="en-US" w:bidi="ar-SA"/>
          </w:rPr>
          <w:t>, 703 F.3d 668 (4th Cir. 2012)</w:t>
        </w:r>
      </w:hyperlink>
      <w:r>
        <w:rPr>
          <w:rFonts w:ascii="arial" w:eastAsia="arial" w:hAnsi="arial" w:cs="arial"/>
          <w:color w:val="000000"/>
          <w:sz w:val="20"/>
          <w:lang w:val="en-US" w:eastAsia="en-US" w:bidi="ar-SA"/>
        </w:rPr>
        <w:t xml:space="preserve">, such a diversion is not sufficient to give New Virginia Majority standing.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243 at 13-14 (emphasis omitted). NRHA cites no evidence in support of its argument-only Plaintiffs' Memorandum in Opposition to the City's Motion to Dismiss for Lack of Standing.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Plaintiff New Virginia Majority is a nonprofit organization incorporated in the Commonwealth of Virginia, ECF No. 128 P 13, whose policy objectives include, inter alia, helping disadvantaged people in Virginia deal with the effects of climate change and sea level rise. ECF No. 155-12</w:t>
      </w:r>
      <w:r>
        <w:rPr>
          <w:rFonts w:ascii="arial" w:eastAsia="arial" w:hAnsi="arial" w:cs="arial"/>
          <w:b/>
          <w:color w:val="000000"/>
          <w:sz w:val="20"/>
          <w:lang w:val="en-US" w:eastAsia="en-US" w:bidi="ar-SA"/>
        </w:rPr>
        <w:t> [*19] </w:t>
      </w:r>
      <w:r>
        <w:rPr>
          <w:rFonts w:ascii="arial" w:eastAsia="arial" w:hAnsi="arial" w:cs="arial"/>
          <w:color w:val="000000"/>
          <w:sz w:val="20"/>
          <w:lang w:val="en-US" w:eastAsia="en-US" w:bidi="ar-SA"/>
        </w:rPr>
        <w:t xml:space="preserve"> at 62:17-21. Such efforts fall within the umbrella of "climate justice," which includes the response to the rising sea level in Norfolk. ECF No. 155-8 at 40:4-16. Thus, this litigation falls within the scope of New Virginia Majority's ten-year vision, which lays out the organization's policy objectives. ECF No. 155-12 at 38:7-18, 40:13-16. New Virginia Majority's representative testified that the Redevelopment Plan implicates issues relating to climate justice and that New Virginia Majority opposes and "take[s] issue with" the City's approach, which displaces thousands of Black homes and residents under the guise of addressing flooding issues. ECF No. 155-8 at 42:17-20, 43:18-44:6;   </w:t>
      </w:r>
      <w:r>
        <w:rPr>
          <w:rFonts w:ascii="arial" w:eastAsia="arial" w:hAnsi="arial" w:cs="arial"/>
          <w:i/>
          <w:color w:val="000000"/>
          <w:sz w:val="20"/>
          <w:lang w:val="en-US" w:eastAsia="en-US" w:bidi="ar-SA"/>
        </w:rPr>
        <w:t>see also id.</w:t>
      </w:r>
      <w:r>
        <w:rPr>
          <w:rFonts w:ascii="arial" w:eastAsia="arial" w:hAnsi="arial" w:cs="arial"/>
          <w:color w:val="000000"/>
          <w:sz w:val="20"/>
          <w:lang w:val="en-US" w:eastAsia="en-US" w:bidi="ar-SA"/>
        </w:rPr>
        <w:t xml:space="preserve"> at 98:14-99:8 (defining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testifying that the Redevelopment Plan is an attempt at gentrification of TWG). Notably, the City's counsel at the deposition of the organization's representative recognized that climate justice is "an important issue for New Virginia Majority, and that the Redevelopment Plan implicates climate justice because there's flooding in the [TWG] development."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43:13-17.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Against this fuller and factually accurate view of New Virginia Majority's</w:t>
      </w:r>
      <w:r>
        <w:rPr>
          <w:rFonts w:ascii="arial" w:eastAsia="arial" w:hAnsi="arial" w:cs="arial"/>
          <w:b/>
          <w:color w:val="000000"/>
          <w:sz w:val="20"/>
          <w:lang w:val="en-US" w:eastAsia="en-US" w:bidi="ar-SA"/>
        </w:rPr>
        <w:t> [*20] </w:t>
      </w:r>
      <w:r>
        <w:rPr>
          <w:rFonts w:ascii="arial" w:eastAsia="arial" w:hAnsi="arial" w:cs="arial"/>
          <w:color w:val="000000"/>
          <w:sz w:val="20"/>
          <w:lang w:val="en-US" w:eastAsia="en-US" w:bidi="ar-SA"/>
        </w:rPr>
        <w:t xml:space="preserve"> mission, including the recognized "important issue" of climate justice and its relationship to the Redevelopment Plan, there is no question that New Virginia Majority's efforts to carry out its mission have been directly impeded by the City's actions.   </w:t>
      </w:r>
      <w:r>
        <w:rPr>
          <w:rFonts w:ascii="arial" w:eastAsia="arial" w:hAnsi="arial" w:cs="arial"/>
          <w:i/>
          <w:color w:val="000000"/>
          <w:sz w:val="20"/>
          <w:lang w:val="en-US" w:eastAsia="en-US" w:bidi="ar-SA"/>
        </w:rPr>
        <w:t xml:space="preserve">See </w:t>
      </w:r>
      <w:hyperlink r:id="rId60" w:history="1">
        <w:r>
          <w:rPr>
            <w:rFonts w:ascii="arial" w:eastAsia="arial" w:hAnsi="arial" w:cs="arial"/>
            <w:i/>
            <w:color w:val="0077CC"/>
            <w:sz w:val="20"/>
            <w:u w:val="single"/>
            <w:shd w:val="clear" w:color="auto" w:fill="FFFFFF"/>
            <w:lang w:val="en-US" w:eastAsia="en-US" w:bidi="ar-SA"/>
          </w:rPr>
          <w:t>Lane</w:t>
        </w:r>
      </w:hyperlink>
      <w:hyperlink r:id="rId60" w:history="1">
        <w:r>
          <w:rPr>
            <w:rFonts w:ascii="arial" w:eastAsia="arial" w:hAnsi="arial" w:cs="arial"/>
            <w:i/>
            <w:color w:val="0077CC"/>
            <w:sz w:val="20"/>
            <w:u w:val="single"/>
            <w:shd w:val="clear" w:color="auto" w:fill="FFFFFF"/>
            <w:lang w:val="en-US" w:eastAsia="en-US" w:bidi="ar-SA"/>
          </w:rPr>
          <w:t>, 703 F.3d at 674-75</w:t>
        </w:r>
      </w:hyperlink>
      <w:r>
        <w:rPr>
          <w:rFonts w:ascii="arial" w:eastAsia="arial" w:hAnsi="arial" w:cs="arial"/>
          <w:color w:val="000000"/>
          <w:sz w:val="20"/>
          <w:lang w:val="en-US" w:eastAsia="en-US" w:bidi="ar-SA"/>
        </w:rPr>
        <w:t xml:space="preserve"> (recognizing a similar scenario as grounds for an organization's injury in fact sufficient to establish standing). Although NRHA attempts to cast New Virginia Majority's injury as self-inflicted due to a diversion of resources "away from its mission of climate justice," the deposition testimony of the organization's representatives clearly establishes that the Redevelopment Plan implicates issues relating to climate justice. Thus, New Virginia Majority did not "divert its resources" from its usual activities and its harm is not self-inflicted.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Moreover, the Fourth Circuit has revisited the question of organizational standing since   </w:t>
      </w:r>
      <w:r>
        <w:rPr>
          <w:rFonts w:ascii="arial" w:eastAsia="arial" w:hAnsi="arial" w:cs="arial"/>
          <w:i/>
          <w:color w:val="000000"/>
          <w:sz w:val="20"/>
          <w:lang w:val="en-US" w:eastAsia="en-US" w:bidi="ar-SA"/>
        </w:rPr>
        <w:t>Lane</w:t>
      </w:r>
      <w:r>
        <w:rPr>
          <w:rFonts w:ascii="arial" w:eastAsia="arial" w:hAnsi="arial" w:cs="arial"/>
          <w:color w:val="000000"/>
          <w:sz w:val="20"/>
          <w:lang w:val="en-US" w:eastAsia="en-US" w:bidi="ar-SA"/>
        </w:rPr>
        <w:t xml:space="preserve"> and "reaffirmed that a plaintiff has suffered an organizational injury if the challenged policy or practice frustrated both its purpose and caused a drain on its resources."   </w:t>
      </w:r>
      <w:hyperlink r:id="rId61" w:history="1">
        <w:r>
          <w:rPr>
            <w:rFonts w:ascii="arial" w:eastAsia="arial" w:hAnsi="arial" w:cs="arial"/>
            <w:i/>
            <w:color w:val="0077CC"/>
            <w:sz w:val="20"/>
            <w:u w:val="single"/>
            <w:shd w:val="clear" w:color="auto" w:fill="FFFFFF"/>
            <w:lang w:val="en-US" w:eastAsia="en-US" w:bidi="ar-SA"/>
          </w:rPr>
          <w:t>People for Ethical Treatment of Animals, Inc. v. Tri-State Zoological Park of W. Maryland, Inc.</w:t>
        </w:r>
      </w:hyperlink>
      <w:hyperlink r:id="rId61" w:history="1">
        <w:r>
          <w:rPr>
            <w:rFonts w:ascii="arial" w:eastAsia="arial" w:hAnsi="arial" w:cs="arial"/>
            <w:b/>
            <w:i/>
            <w:color w:val="0077CC"/>
            <w:sz w:val="20"/>
            <w:u w:val="single"/>
            <w:shd w:val="clear" w:color="auto" w:fill="FFFFFF"/>
            <w:lang w:val="en-US" w:eastAsia="en-US" w:bidi="ar-SA"/>
          </w:rPr>
          <w:t> [*21] </w:t>
        </w:r>
      </w:hyperlink>
      <w:hyperlink r:id="rId61" w:history="1">
        <w:r>
          <w:rPr>
            <w:rFonts w:ascii="arial" w:eastAsia="arial" w:hAnsi="arial" w:cs="arial"/>
            <w:i/>
            <w:color w:val="0077CC"/>
            <w:sz w:val="20"/>
            <w:u w:val="single"/>
            <w:shd w:val="clear" w:color="auto" w:fill="FFFFFF"/>
            <w:lang w:val="en-US" w:eastAsia="en-US" w:bidi="ar-SA"/>
          </w:rPr>
          <w:t>, 843 Fed.Appx. 493, 496 (4th Cir. 2021)</w:t>
        </w:r>
      </w:hyperlink>
      <w:r>
        <w:rPr>
          <w:rFonts w:ascii="arial" w:eastAsia="arial" w:hAnsi="arial" w:cs="arial"/>
          <w:color w:val="000000"/>
          <w:sz w:val="20"/>
          <w:lang w:val="en-US" w:eastAsia="en-US" w:bidi="ar-SA"/>
        </w:rPr>
        <w:t xml:space="preserve"> (internal citation omitted). Here, the evidence unequivocally establishes that climate justice is part of New Virginia Majority's mission and that the Redevelopment Plan has both frustrated that initiative and "caused a drain on [New Virginia Majority's] resources."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Thus, New Virginia Majority has suffered concrete harm and has organizational standing.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II.   </w:t>
      </w:r>
      <w:r>
        <w:rPr>
          <w:rFonts w:ascii="arial" w:eastAsia="arial" w:hAnsi="arial" w:cs="arial"/>
          <w:b/>
          <w:color w:val="000000"/>
          <w:sz w:val="20"/>
          <w:lang w:val="en-US" w:eastAsia="en-US" w:bidi="ar-SA"/>
        </w:rPr>
        <w:t xml:space="preserve"> PLAINTIFFS HAVE ESTABLISHED A PRIMA FACIE CASE OF DISCRIMINATION UNDER THE FHA.</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Memorandum in Support of Plaintiffs' Motion for Summary Judgment (ECF No. 227) ("Plaintiffs' MSJ Memorandum") establishes Plaintiffs' prima facie case of disparate impact under the FHA and is incorporated herein by reference. NRHA advances three baseless arguments to contest Plaintiffs' prima facie case: first, that the protected class identified by Plaintiffs has not suffered a disparate impact as a result of the three challenged practices (ECF No. 243 at 16-19); second, that the harm complained of is temporary and there will be no significant, adverse impact upon completion of the Redevelopment Plan (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19-20); and third, Plaintiffs have not demonstrated the "robust causality" required under   </w:t>
      </w:r>
      <w:hyperlink r:id="rId62" w:history="1">
        <w:r>
          <w:rPr>
            <w:rFonts w:ascii="arial" w:eastAsia="arial" w:hAnsi="arial" w:cs="arial"/>
            <w:i/>
            <w:color w:val="0077CC"/>
            <w:sz w:val="20"/>
            <w:u w:val="single"/>
            <w:shd w:val="clear" w:color="auto" w:fill="FFFFFF"/>
            <w:lang w:val="en-US" w:eastAsia="en-US" w:bidi="ar-SA"/>
          </w:rPr>
          <w:t>Reyes v. Waples Mobile Home Park Ltd. P'ship</w:t>
        </w:r>
      </w:hyperlink>
      <w:hyperlink r:id="rId62" w:history="1">
        <w:r>
          <w:rPr>
            <w:rFonts w:ascii="arial" w:eastAsia="arial" w:hAnsi="arial" w:cs="arial"/>
            <w:i/>
            <w:color w:val="0077CC"/>
            <w:sz w:val="20"/>
            <w:u w:val="single"/>
            <w:shd w:val="clear" w:color="auto" w:fill="FFFFFF"/>
            <w:lang w:val="en-US" w:eastAsia="en-US" w:bidi="ar-SA"/>
          </w:rPr>
          <w:t>, 903 F.3d 415 (4th Cir. 2018)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20-22.1 The first two assertions are contradicted by record evidence and the third is refuted by Plaintiffs' MSJ Memorandum. NRHA's motion should be denied.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lang w:val="en-US" w:eastAsia="en-US" w:bidi="ar-SA"/>
        </w:rPr>
        <w:t xml:space="preserve"> The Challenged Practices Have a Significant, Disproportionate Adverse Impact on</w:t>
      </w:r>
      <w:r>
        <w:rPr>
          <w:rFonts w:ascii="arial" w:eastAsia="arial" w:hAnsi="arial" w:cs="arial"/>
          <w:b/>
          <w:color w:val="000000"/>
          <w:sz w:val="20"/>
          <w:lang w:val="en-US" w:eastAsia="en-US" w:bidi="ar-SA"/>
        </w:rPr>
        <w:t> [*22] </w:t>
      </w:r>
      <w:r>
        <w:rPr>
          <w:rFonts w:ascii="arial" w:eastAsia="arial" w:hAnsi="arial" w:cs="arial"/>
          <w:b/>
          <w:color w:val="000000"/>
          <w:sz w:val="20"/>
          <w:lang w:val="en-US" w:eastAsia="en-US" w:bidi="ar-SA"/>
        </w:rPr>
        <w:t xml:space="preserve"> Low-Income Residents of Norfolk, the Majority of Whom Are Black.</w:t>
      </w:r>
      <w:r>
        <w:rPr>
          <w:rFonts w:ascii="arial" w:eastAsia="arial" w:hAnsi="arial" w:cs="arial"/>
          <w:b/>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an initial matter, NRHA misrepresents Plaintiffs' pleadings in this matter and alleges that Plaintiffs' disparate impact claim identifies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Black residents of Norfolk as the protected class. ECF No. 243 at 16. In fact, Plaintiffs have argued that the Challenged Practices harm "the low-income residents of Norfolk-the majority of whom are black-whether they currently live in St. Paul's public housing or elsewhere," thus resulting in a disparate impact on Black residents of Norfolk. ECF No. 158 at 14-15. As shown below, the Challenged Practices apply to all low-income residents of Norfolk by virtue of their effect and thus have "a disproportionate impact on the minorities in the total group to which the policy was applied."   </w:t>
      </w:r>
      <w:hyperlink r:id="rId63" w:history="1">
        <w:r>
          <w:rPr>
            <w:rFonts w:ascii="arial" w:eastAsia="arial" w:hAnsi="arial" w:cs="arial"/>
            <w:i/>
            <w:color w:val="0077CC"/>
            <w:sz w:val="20"/>
            <w:u w:val="single"/>
            <w:shd w:val="clear" w:color="auto" w:fill="FFFFFF"/>
            <w:lang w:val="en-US" w:eastAsia="en-US" w:bidi="ar-SA"/>
          </w:rPr>
          <w:t>Betsey v. Turtle Creek Assocs.</w:t>
        </w:r>
      </w:hyperlink>
      <w:hyperlink r:id="rId63" w:history="1">
        <w:r>
          <w:rPr>
            <w:rFonts w:ascii="arial" w:eastAsia="arial" w:hAnsi="arial" w:cs="arial"/>
            <w:i/>
            <w:color w:val="0077CC"/>
            <w:sz w:val="20"/>
            <w:u w:val="single"/>
            <w:shd w:val="clear" w:color="auto" w:fill="FFFFFF"/>
            <w:lang w:val="en-US" w:eastAsia="en-US" w:bidi="ar-SA"/>
          </w:rPr>
          <w:t>, 736 F.2d 983, 987 (4th Cir. 1984)</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Redevelopment Plan will demolish 618 public housing units, which represents over 20% of all public housing units in Norfolk, and provide only 226 replacement Project-Based Voucher ("PBV") units in the redeveloped area.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160-7 PP 26, 64 (noting that of Norfolk's 2, 761 public housing units, 618 of them are from TWG and slated to be demolished);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ECF No. 160-11 at NRHA00017231 (noting the plan for 226 replacement units). Local Defendants claim they will provide an additional 83 PBV units off-site, but two years into the redevelopment process, only 23 of those sites have been identified-and none have actually been built.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160-11 at NRHA00017231; ECF No. 227-3 at NRHA000006069. Even if LIHTC units are considered to replenish the stock of demolished deeply affordable housing (which they should not be for the reasons below), the Plan includes only 232 such units. ECF No. 186-</w:t>
      </w:r>
      <w:hyperlink r:id="rId64" w:history="1">
        <w:r>
          <w:rPr>
            <w:rFonts w:ascii="arial" w:eastAsia="arial" w:hAnsi="arial" w:cs="arial"/>
            <w:i/>
            <w:color w:val="0077CC"/>
            <w:sz w:val="20"/>
            <w:u w:val="single"/>
            <w:shd w:val="clear" w:color="auto" w:fill="FFFFFF"/>
            <w:lang w:val="en-US" w:eastAsia="en-US" w:bidi="ar-SA"/>
          </w:rPr>
          <w:t>2 P 5</w:t>
        </w:r>
      </w:hyperlink>
      <w:r>
        <w:rPr>
          <w:rFonts w:ascii="arial" w:eastAsia="arial" w:hAnsi="arial" w:cs="arial"/>
          <w:color w:val="000000"/>
          <w:sz w:val="20"/>
          <w:lang w:val="en-US" w:eastAsia="en-US" w:bidi="ar-SA"/>
        </w:rPr>
        <w:t xml:space="preserve">. Thus, the Plan includes 541 PBV and LIHTC units in total, which is 77 units   </w:t>
      </w:r>
      <w:r>
        <w:rPr>
          <w:rFonts w:ascii="arial" w:eastAsia="arial" w:hAnsi="arial" w:cs="arial"/>
          <w:i/>
          <w:color w:val="000000"/>
          <w:sz w:val="20"/>
          <w:lang w:val="en-US" w:eastAsia="en-US" w:bidi="ar-SA"/>
        </w:rPr>
        <w:t>fewer</w:t>
      </w:r>
      <w:r>
        <w:rPr>
          <w:rFonts w:ascii="arial" w:eastAsia="arial" w:hAnsi="arial" w:cs="arial"/>
          <w:color w:val="000000"/>
          <w:sz w:val="20"/>
          <w:lang w:val="en-US" w:eastAsia="en-US" w:bidi="ar-SA"/>
        </w:rPr>
        <w:t xml:space="preserve"> than the 618 units at TWG being demolished.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(226 on-site replacement units; 83 off-site replacement units; 232 LIHTC units). And although LIHTC units are a type of affordable housing, they are not   </w:t>
      </w:r>
      <w:r>
        <w:rPr>
          <w:rFonts w:ascii="arial" w:eastAsia="arial" w:hAnsi="arial" w:cs="arial"/>
          <w:i/>
          <w:color w:val="000000"/>
          <w:sz w:val="20"/>
          <w:lang w:val="en-US" w:eastAsia="en-US" w:bidi="ar-SA"/>
        </w:rPr>
        <w:t>deeply affordable</w:t>
      </w:r>
      <w:r>
        <w:rPr>
          <w:rFonts w:ascii="arial" w:eastAsia="arial" w:hAnsi="arial" w:cs="arial"/>
          <w:color w:val="000000"/>
          <w:sz w:val="20"/>
          <w:lang w:val="en-US" w:eastAsia="en-US" w:bidi="ar-SA"/>
        </w:rPr>
        <w:t xml:space="preserve">; they serve households who make 50% or 60% of the Area Median Income- not the much lower income households in TWG and on the HCV waiting list. 26 U.S.C. § 42(g)(1).2 Indeed, in the CNI Grant Application, Local Defendants expressly noted that these LIHTC units were not replacement housing.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221-2 at 56, 64. Thus, offering LIHTC units is effectively the same as offering market rate units-the reality is that neither is affordable to extremely low-income residents of Norfolk, who are disproportionately Black.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 attempts to obfuscate the simple, mathematical reduction in</w:t>
      </w:r>
      <w:r>
        <w:rPr>
          <w:rFonts w:ascii="arial" w:eastAsia="arial" w:hAnsi="arial" w:cs="arial"/>
          <w:b/>
          <w:color w:val="000000"/>
          <w:sz w:val="20"/>
          <w:lang w:val="en-US" w:eastAsia="en-US" w:bidi="ar-SA"/>
        </w:rPr>
        <w:t> [*23] </w:t>
      </w:r>
      <w:r>
        <w:rPr>
          <w:rFonts w:ascii="arial" w:eastAsia="arial" w:hAnsi="arial" w:cs="arial"/>
          <w:color w:val="000000"/>
          <w:sz w:val="20"/>
          <w:lang w:val="en-US" w:eastAsia="en-US" w:bidi="ar-SA"/>
        </w:rPr>
        <w:t xml:space="preserve"> deeply affordable housing under the Redevelopment Plan by making the unsubstantiated claim that the Redevelopment Plan "actually   </w:t>
      </w:r>
      <w:r>
        <w:rPr>
          <w:rFonts w:ascii="arial" w:eastAsia="arial" w:hAnsi="arial" w:cs="arial"/>
          <w:i/>
          <w:color w:val="000000"/>
          <w:sz w:val="20"/>
          <w:lang w:val="en-US" w:eastAsia="en-US" w:bidi="ar-SA"/>
        </w:rPr>
        <w:t>increases</w:t>
      </w:r>
      <w:r>
        <w:rPr>
          <w:rFonts w:ascii="arial" w:eastAsia="arial" w:hAnsi="arial" w:cs="arial"/>
          <w:color w:val="000000"/>
          <w:sz w:val="20"/>
          <w:lang w:val="en-US" w:eastAsia="en-US" w:bidi="ar-SA"/>
        </w:rPr>
        <w:t xml:space="preserve"> the availability of affordable housing units in Norfolk." ECF No. 243 at 19 (emphasis in original). Without citing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record evidence, NRHA alleges that the Redevelopment Plan will add, in addition to the 793 housing units Local Defendants have already proposed, "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109 affordable LIHTC-only units" but "likely" an additional 150 LIHTC units on top.   </w:t>
      </w:r>
      <w:hyperlink r:id="rId64" w:history="1">
        <w:r>
          <w:rPr>
            <w:rFonts w:ascii="arial" w:eastAsia="arial" w:hAnsi="arial" w:cs="arial"/>
            <w:i/>
            <w:color w:val="0077CC"/>
            <w:sz w:val="20"/>
            <w:u w:val="single"/>
            <w:shd w:val="clear" w:color="auto" w:fill="FFFFFF"/>
            <w:lang w:val="en-US" w:eastAsia="en-US" w:bidi="ar-SA"/>
          </w:rPr>
          <w:t>Id.</w:t>
        </w:r>
      </w:hyperlink>
      <w:hyperlink r:id="rId64" w:history="1">
        <w:r>
          <w:rPr>
            <w:rFonts w:ascii="arial" w:eastAsia="arial" w:hAnsi="arial" w:cs="arial"/>
            <w:i/>
            <w:color w:val="0077CC"/>
            <w:sz w:val="20"/>
            <w:u w:val="single"/>
            <w:shd w:val="clear" w:color="auto" w:fill="FFFFFF"/>
            <w:lang w:val="en-US" w:eastAsia="en-US" w:bidi="ar-SA"/>
          </w:rPr>
          <w:t xml:space="preserve"> at 18</w:t>
        </w:r>
      </w:hyperlink>
      <w:r>
        <w:rPr>
          <w:rFonts w:ascii="arial" w:eastAsia="arial" w:hAnsi="arial" w:cs="arial"/>
          <w:color w:val="000000"/>
          <w:sz w:val="20"/>
          <w:lang w:val="en-US" w:eastAsia="en-US" w:bidi="ar-SA"/>
        </w:rPr>
        <w:t xml:space="preserve"> (emphasis in original). NRHA goes on to claim, again without factual basis, that the Redevelopment Plan "will deliver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959 affordable housing units in Norfolk, and likely in excess of 1, 100."   </w:t>
      </w:r>
      <w:hyperlink r:id="rId64" w:history="1">
        <w:r>
          <w:rPr>
            <w:rFonts w:ascii="arial" w:eastAsia="arial" w:hAnsi="arial" w:cs="arial"/>
            <w:i/>
            <w:color w:val="0077CC"/>
            <w:sz w:val="20"/>
            <w:u w:val="single"/>
            <w:shd w:val="clear" w:color="auto" w:fill="FFFFFF"/>
            <w:lang w:val="en-US" w:eastAsia="en-US" w:bidi="ar-SA"/>
          </w:rPr>
          <w:t>Id.</w:t>
        </w:r>
      </w:hyperlink>
      <w:hyperlink r:id="rId64" w:history="1">
        <w:r>
          <w:rPr>
            <w:rFonts w:ascii="arial" w:eastAsia="arial" w:hAnsi="arial" w:cs="arial"/>
            <w:i/>
            <w:color w:val="0077CC"/>
            <w:sz w:val="20"/>
            <w:u w:val="single"/>
            <w:shd w:val="clear" w:color="auto" w:fill="FFFFFF"/>
            <w:lang w:val="en-US" w:eastAsia="en-US" w:bidi="ar-SA"/>
          </w:rPr>
          <w:t xml:space="preserve"> at 28</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NRHA's conclusory denial that Local Defendants' reliance on HCVs in lieu of building replacement housing has reduced the availability of affordable housing in Norfolk ignores how HCVs work and must be rejected. To state the obvious, HCVs are vouchers-not physical housing units. HCVs "are assigned to households who must then bear the responsibility to find their own housing unit, with a landlord who will accept the voucher, but that unit must be acceptable to the</w:t>
      </w:r>
      <w:r>
        <w:rPr>
          <w:rFonts w:ascii="arial" w:eastAsia="arial" w:hAnsi="arial" w:cs="arial"/>
          <w:b/>
          <w:color w:val="000000"/>
          <w:sz w:val="20"/>
          <w:lang w:val="en-US" w:eastAsia="en-US" w:bidi="ar-SA"/>
        </w:rPr>
        <w:t> [*24] </w:t>
      </w:r>
      <w:r>
        <w:rPr>
          <w:rFonts w:ascii="arial" w:eastAsia="arial" w:hAnsi="arial" w:cs="arial"/>
          <w:color w:val="000000"/>
          <w:sz w:val="20"/>
          <w:lang w:val="en-US" w:eastAsia="en-US" w:bidi="ar-SA"/>
        </w:rPr>
        <w:t xml:space="preserve"> Housing Authority." ECF No. 160-</w:t>
      </w:r>
      <w:hyperlink r:id="rId65" w:history="1">
        <w:r>
          <w:rPr>
            <w:rFonts w:ascii="arial" w:eastAsia="arial" w:hAnsi="arial" w:cs="arial"/>
            <w:i/>
            <w:color w:val="0077CC"/>
            <w:sz w:val="20"/>
            <w:u w:val="single"/>
            <w:shd w:val="clear" w:color="auto" w:fill="FFFFFF"/>
            <w:lang w:val="en-US" w:eastAsia="en-US" w:bidi="ar-SA"/>
          </w:rPr>
          <w:t>7 P 22</w:t>
        </w:r>
      </w:hyperlink>
      <w:r>
        <w:rPr>
          <w:rFonts w:ascii="arial" w:eastAsia="arial" w:hAnsi="arial" w:cs="arial"/>
          <w:color w:val="000000"/>
          <w:sz w:val="20"/>
          <w:lang w:val="en-US" w:eastAsia="en-US" w:bidi="ar-SA"/>
        </w:rPr>
        <w:t xml:space="preserve">. Increasing the number of HCVs does not increase the city's affordable housing stock (i.e., the physical housing units)-only the number of households vying for the same limited number of qualifying housing units.3 That is precisely why HCVs are an inappropriate alternative to PBVs in a tight rental market such as Norfolk: residents will be unable to find housing in high opportunity neighborhoods.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160-7 PP 27-28, 38-42.4 Furthermore, and as Local Defendants' own witnesses and experts have testified, many landlords in Norfolk do not accept HCVs and it is difficult for voucher holders to find housing.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Ex. E, Kownack Dep. Tr. at 328:12-329:2; ECF No. 200-4 at 403:4-7;   </w:t>
      </w:r>
      <w:hyperlink r:id="rId64" w:history="1">
        <w:r>
          <w:rPr>
            <w:rFonts w:ascii="arial" w:eastAsia="arial" w:hAnsi="arial" w:cs="arial"/>
            <w:i/>
            <w:color w:val="0077CC"/>
            <w:sz w:val="20"/>
            <w:u w:val="single"/>
            <w:shd w:val="clear" w:color="auto" w:fill="FFFFFF"/>
            <w:lang w:val="en-US" w:eastAsia="en-US" w:bidi="ar-SA"/>
          </w:rPr>
          <w:t>supra</w:t>
        </w:r>
      </w:hyperlink>
      <w:hyperlink r:id="rId64" w:history="1">
        <w:r>
          <w:rPr>
            <w:rFonts w:ascii="arial" w:eastAsia="arial" w:hAnsi="arial" w:cs="arial"/>
            <w:i/>
            <w:color w:val="0077CC"/>
            <w:sz w:val="20"/>
            <w:u w:val="single"/>
            <w:shd w:val="clear" w:color="auto" w:fill="FFFFFF"/>
            <w:lang w:val="en-US" w:eastAsia="en-US" w:bidi="ar-SA"/>
          </w:rPr>
          <w:t xml:space="preserve"> P 12</w:t>
        </w:r>
      </w:hyperlink>
      <w:r>
        <w:rPr>
          <w:rFonts w:ascii="arial" w:eastAsia="arial" w:hAnsi="arial" w:cs="arial"/>
          <w:color w:val="000000"/>
          <w:sz w:val="20"/>
          <w:lang w:val="en-US" w:eastAsia="en-US" w:bidi="ar-SA"/>
        </w:rPr>
        <w:t xml:space="preserve">. Landlords who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accept HCVs are almost universally located in segregated areas of the city.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160-7 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lang w:val="en-US" w:eastAsia="en-US" w:bidi="ar-SA"/>
        </w:rPr>
        <w:t xml:space="preserve"> The Significant, Disproportionate Adverse Impact Caused by the Challenged Practices Does Not Terminate Upon Completion of the Redevelopment Plan.</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 asserts that the Challenged Practices are "temporary" and end with the completion of the Redevelopment Plan. ECF No. 243 at 19. In particular, NRHA claims that every TWG resident who wants to return to the redeveloped community is "guaranteed a home."   </w:t>
      </w:r>
      <w:hyperlink r:id="rId64" w:history="1">
        <w:r>
          <w:rPr>
            <w:rFonts w:ascii="arial" w:eastAsia="arial" w:hAnsi="arial" w:cs="arial"/>
            <w:i/>
            <w:color w:val="0077CC"/>
            <w:sz w:val="20"/>
            <w:u w:val="single"/>
            <w:shd w:val="clear" w:color="auto" w:fill="FFFFFF"/>
            <w:lang w:val="en-US" w:eastAsia="en-US" w:bidi="ar-SA"/>
          </w:rPr>
          <w:t>Id.</w:t>
        </w:r>
      </w:hyperlink>
      <w:hyperlink r:id="rId64" w:history="1">
        <w:r>
          <w:rPr>
            <w:rFonts w:ascii="arial" w:eastAsia="arial" w:hAnsi="arial" w:cs="arial"/>
            <w:i/>
            <w:color w:val="0077CC"/>
            <w:sz w:val="20"/>
            <w:u w:val="single"/>
            <w:shd w:val="clear" w:color="auto" w:fill="FFFFFF"/>
            <w:lang w:val="en-US" w:eastAsia="en-US" w:bidi="ar-SA"/>
          </w:rPr>
          <w:t xml:space="preserve"> at 21</w:t>
        </w:r>
      </w:hyperlink>
      <w:r>
        <w:rPr>
          <w:rFonts w:ascii="arial" w:eastAsia="arial" w:hAnsi="arial" w:cs="arial"/>
          <w:color w:val="000000"/>
          <w:sz w:val="20"/>
          <w:lang w:val="en-US" w:eastAsia="en-US" w:bidi="ar-SA"/>
        </w:rPr>
        <w:t>. What NRHA conveniently ignores is the undisputed fact that the Redevelopment Plan provides only 226 PBV units in the redeveloped TWG community. ECF No. 243 P 11. As discussed above, TWG residents cannot afford LIHTC</w:t>
      </w:r>
      <w:r>
        <w:rPr>
          <w:rFonts w:ascii="arial" w:eastAsia="arial" w:hAnsi="arial" w:cs="arial"/>
          <w:b/>
          <w:color w:val="000000"/>
          <w:sz w:val="20"/>
          <w:lang w:val="en-US" w:eastAsia="en-US" w:bidi="ar-SA"/>
        </w:rPr>
        <w:t> [*25] </w:t>
      </w:r>
      <w:r>
        <w:rPr>
          <w:rFonts w:ascii="arial" w:eastAsia="arial" w:hAnsi="arial" w:cs="arial"/>
          <w:color w:val="000000"/>
          <w:sz w:val="20"/>
          <w:lang w:val="en-US" w:eastAsia="en-US" w:bidi="ar-SA"/>
        </w:rPr>
        <w:t xml:space="preserve"> units, which exist to serve households that make 50% or 60% of the Area Median Income ("AMI"). 26 U.S.C. § 42(g)(1). TWG residents typically have incomes less than 30% of Norfolk's AMI.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159-5 PP 12-13, 22 (Norfolk AMI of $ 79,300; 30% of AMI is $ 19,050; median household income in St. Paul's Quadrant of $ 12,000). Although NRHA argues that TWG residents will be able to afford these higher rents through the use of HCVs, this ignores the variety of barriers that LIHTC owners and property managers impose to avoid renting to extremely low-income households, such as more restrictive criminal history and credit screening. For example, if a displaced TWG residents had a lease problem during the relocation period with a landlord who rented to him or her, whatever the reason, pretextual or not (and landlords who use any excuse to get rid of a voucher tenant for a higher paying substitute are, to say the least, not uncommon), that could be a basis for the landlord at the redeveloped housing refusing to rent to that resident. TWG residents using HCVs to rent LIHTC units would also lack the protection of a grievance procedure to protect against unfair eviction.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Defendants' November 12, 2020 Return Policy (ECF No. 221-9) (the "Return Policy")-a blatant attempt to create an ex-post defense to this litigation-only exacerbates the problem. The Return Policy, which even City officials could not explain, ECF No. 227 P 50, was promulgated long after many TWG residents had relocated and, as a result, those residents are unlikely to return because any new housing-replacement, LIHTC or otherwise-would not be ready for occupancy until late 2022. Thus, the Return Policy is not a substitute for replacement units. Likewise, the November 23, 2020 City Council resolution (ECF No. 221-8) (the "Resolution"), which promises that Local Defendants will build new housing units somewhere, at some unspecified future date, with funds not yet allocated, is not a substitute for replacement units. Even if Local Defendants follow through and build at some time in the future pursuant to the Resolution, the TWG residents displaced by the Redevelopment Plan will be long gone.</w:t>
      </w:r>
      <w:r>
        <w:rPr>
          <w:rFonts w:ascii="arial" w:eastAsia="arial" w:hAnsi="arial" w:cs="arial"/>
          <w:b/>
          <w:color w:val="000000"/>
          <w:sz w:val="20"/>
          <w:lang w:val="en-US" w:eastAsia="en-US" w:bidi="ar-SA"/>
        </w:rPr>
        <w:t> [*26] </w:t>
      </w:r>
      <w:r>
        <w:rPr>
          <w:rFonts w:ascii="arial" w:eastAsia="arial" w:hAnsi="arial" w:cs="arial"/>
          <w:color w:val="000000"/>
          <w:sz w:val="20"/>
          <w:lang w:val="en-US" w:eastAsia="en-US" w:bidi="ar-SA"/>
        </w:rPr>
        <w:t xml:space="preserve"> Accordingly, the Resolution does not fix the problems generated by Local Defendants' failure to provide sufficient replacement units   </w:t>
      </w:r>
      <w:r>
        <w:rPr>
          <w:rFonts w:ascii="arial" w:eastAsia="arial" w:hAnsi="arial" w:cs="arial"/>
          <w:i/>
          <w:color w:val="000000"/>
          <w:sz w:val="20"/>
          <w:lang w:val="en-US" w:eastAsia="en-US" w:bidi="ar-SA"/>
        </w:rPr>
        <w:t>now</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extremely low-income residents of Norfolk more broadly, a disproportionately Black population, the situation is even more dire as they clearly would not be able to afford LIHTC units in contrast to PBV units. The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way NRHA can "guarantee[ ] a home" to all TWG residents who want to return to the redeveloped community is by allocating PBV units for all displaced TWG residents. NRHA refuses to do so because it does not want all TWG residents to return.5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lang w:val="en-US" w:eastAsia="en-US" w:bidi="ar-SA"/>
        </w:rPr>
        <w:t xml:space="preserve"> Plaintiffs' Disparate Impact Claim Satisfies the "Robust Causality" Requirement Under   Inclusive Communities.</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can be no dispute that Plaintiffs' disparate impact claim satisfies the "robust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causality" requirement.   </w:t>
      </w:r>
      <w:r>
        <w:rPr>
          <w:rFonts w:ascii="arial" w:eastAsia="arial" w:hAnsi="arial" w:cs="arial"/>
          <w:i/>
          <w:color w:val="000000"/>
          <w:sz w:val="20"/>
          <w:lang w:val="en-US" w:eastAsia="en-US" w:bidi="ar-SA"/>
        </w:rPr>
        <w:t>Texas Dept. of Hous. &amp; Cmty. Affs. v. Inclusive Cmtys. Project, Inc.</w:t>
      </w:r>
      <w:r>
        <w:rPr>
          <w:rFonts w:ascii="arial" w:eastAsia="arial" w:hAnsi="arial" w:cs="arial"/>
          <w:color w:val="000000"/>
          <w:sz w:val="20"/>
          <w:lang w:val="en-US" w:eastAsia="en-US" w:bidi="ar-SA"/>
        </w:rPr>
        <w:t xml:space="preserve">, 576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519, 542 (2015). Specifically: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function of robust causation is to resolve whether the adverse and disproportionate outcomes that arose after a challenged policy was implemented can be traced to the policy rather than to other potential causes or factors. . . . The Supreme</w:t>
      </w:r>
      <w:r>
        <w:rPr>
          <w:rFonts w:ascii="arial" w:eastAsia="arial" w:hAnsi="arial" w:cs="arial"/>
          <w:b/>
          <w:color w:val="000000"/>
          <w:sz w:val="20"/>
          <w:lang w:val="en-US" w:eastAsia="en-US" w:bidi="ar-SA"/>
        </w:rPr>
        <w:t> [*27] </w:t>
      </w:r>
      <w:r>
        <w:rPr>
          <w:rFonts w:ascii="arial" w:eastAsia="arial" w:hAnsi="arial" w:cs="arial"/>
          <w:color w:val="000000"/>
          <w:sz w:val="20"/>
          <w:lang w:val="en-US" w:eastAsia="en-US" w:bidi="ar-SA"/>
        </w:rPr>
        <w:t xml:space="preserve"> Court [has] explained that, to show causality, plaintiffs were first responsible for isolating and identifying the specific employment practices that are allegedly responsible for any observed statistical disparities. Then, plaintiffs had to demonstrate that the disparity they complain of is the result of one or more of the [defendant's] practices that they are attacking . . . specifically showing that each challenged practice has a significantly disparate impact . . .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Sw. Fair Hous. Council, Inc. v. Maricopa Domestic Water Improvement Dist.</w:t>
      </w:r>
      <w:r>
        <w:rPr>
          <w:rFonts w:ascii="arial" w:eastAsia="arial" w:hAnsi="arial" w:cs="arial"/>
          <w:color w:val="000000"/>
          <w:sz w:val="20"/>
          <w:lang w:val="en-US" w:eastAsia="en-US" w:bidi="ar-SA"/>
        </w:rPr>
        <w:t xml:space="preserve">, No. 20-15506, 2021 WL 3716792, at *10 (9th Cir. Aug. 23, 2021) (internal citations omitted).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in   </w:t>
      </w:r>
      <w:r>
        <w:rPr>
          <w:rFonts w:ascii="arial" w:eastAsia="arial" w:hAnsi="arial" w:cs="arial"/>
          <w:i/>
          <w:color w:val="000000"/>
          <w:sz w:val="20"/>
          <w:lang w:val="en-US" w:eastAsia="en-US" w:bidi="ar-SA"/>
        </w:rPr>
        <w:t>Southwest Fair Housing</w:t>
      </w:r>
      <w:r>
        <w:rPr>
          <w:rFonts w:ascii="arial" w:eastAsia="arial" w:hAnsi="arial" w:cs="arial"/>
          <w:color w:val="000000"/>
          <w:sz w:val="20"/>
          <w:lang w:val="en-US" w:eastAsia="en-US" w:bidi="ar-SA"/>
        </w:rPr>
        <w:t>, the robust causality inquiry is not difficult in this case. Local Defendants applied the three Challenged Practices only to TWG residents in connection with the Redevelopment Plan. The disparate impact arose for no reason other than Local Defendants' decision to (i) demolish all 618 units of TWG without utilizing a Build First Approach; (ii) allocate fewer than 618 on-site replacement units; and (iii) improperly substitute HCVs in lieu of building replacement units. As a direct result of the challenged practices, a disproportionate percentage of protected-group members-Black</w:t>
      </w:r>
      <w:r>
        <w:rPr>
          <w:rFonts w:ascii="arial" w:eastAsia="arial" w:hAnsi="arial" w:cs="arial"/>
          <w:b/>
          <w:color w:val="000000"/>
          <w:sz w:val="20"/>
          <w:lang w:val="en-US" w:eastAsia="en-US" w:bidi="ar-SA"/>
        </w:rPr>
        <w:t> [*28] </w:t>
      </w:r>
      <w:r>
        <w:rPr>
          <w:rFonts w:ascii="arial" w:eastAsia="arial" w:hAnsi="arial" w:cs="arial"/>
          <w:color w:val="000000"/>
          <w:sz w:val="20"/>
          <w:lang w:val="en-US" w:eastAsia="en-US" w:bidi="ar-SA"/>
        </w:rPr>
        <w:t xml:space="preserve"> residents of Norfolk-were subject to a reduction in affordable housing in the city, the inability to return to TWG, and forced relocation to other segregated, low-opportunity areas of the city or out of Norfolk entirely.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"the adverse effect here is not some broad social condition."   </w:t>
      </w:r>
      <w:hyperlink r:id="rId64" w:history="1">
        <w:r>
          <w:rPr>
            <w:rFonts w:ascii="arial" w:eastAsia="arial" w:hAnsi="arial" w:cs="arial"/>
            <w:i/>
            <w:color w:val="0077CC"/>
            <w:sz w:val="20"/>
            <w:u w:val="single"/>
            <w:shd w:val="clear" w:color="auto" w:fill="FFFFFF"/>
            <w:lang w:val="en-US" w:eastAsia="en-US" w:bidi="ar-SA"/>
          </w:rPr>
          <w:t>Id</w:t>
        </w:r>
      </w:hyperlink>
      <w:hyperlink r:id="rId64" w:history="1">
        <w:r>
          <w:rPr>
            <w:rFonts w:ascii="arial" w:eastAsia="arial" w:hAnsi="arial" w:cs="arial"/>
            <w:i/>
            <w:color w:val="0077CC"/>
            <w:sz w:val="20"/>
            <w:u w:val="single"/>
            <w:shd w:val="clear" w:color="auto" w:fill="FFFFFF"/>
            <w:lang w:val="en-US" w:eastAsia="en-US" w:bidi="ar-SA"/>
          </w:rPr>
          <w:t>. at *11</w:t>
        </w:r>
      </w:hyperlink>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Southwest Fair Housing</w:t>
      </w:r>
      <w:r>
        <w:rPr>
          <w:rFonts w:ascii="arial" w:eastAsia="arial" w:hAnsi="arial" w:cs="arial"/>
          <w:color w:val="000000"/>
          <w:sz w:val="20"/>
          <w:lang w:val="en-US" w:eastAsia="en-US" w:bidi="ar-SA"/>
        </w:rPr>
        <w:t xml:space="preserve">, Plaintiffs here are not complaining that the Redevelopment Plan "contributed to an overrepresentation of protected-group members in public housing."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Rather, Plaintiffs complain that the Challenged Practices directly caused the discrete adverse effects to Black residents of Norfolk. There is no question that members of a protected class (here, Black residents of Norfolk) are subject to the adverse effects of the Redevelopment Plan. As such, Plaintiffs have met the robust causality requirement.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III.   </w:t>
      </w:r>
      <w:r>
        <w:rPr>
          <w:rFonts w:ascii="arial" w:eastAsia="arial" w:hAnsi="arial" w:cs="arial"/>
          <w:b/>
          <w:color w:val="000000"/>
          <w:sz w:val="20"/>
          <w:lang w:val="en-US" w:eastAsia="en-US" w:bidi="ar-SA"/>
        </w:rPr>
        <w:t xml:space="preserve"> PLAINTIFFS ARE PREPARED TO PROVE AT TRIAL THE VIABILITY OF AN ALTERNATIVE PLAN.</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Local Defendants are able to prove at trial a valid interest in the Redevelopment Plan, its implementation nevertheless violates the FHA because the interest can be served by adopting alternative plans that would have no discriminatory effect.   </w:t>
      </w:r>
      <w:r>
        <w:rPr>
          <w:rFonts w:ascii="arial" w:eastAsia="arial" w:hAnsi="arial" w:cs="arial"/>
          <w:i/>
          <w:color w:val="000000"/>
          <w:sz w:val="20"/>
          <w:lang w:val="en-US" w:eastAsia="en-US" w:bidi="ar-SA"/>
        </w:rPr>
        <w:t>See</w:t>
      </w:r>
      <w:r>
        <w:rPr>
          <w:rFonts w:ascii="arial" w:eastAsia="arial" w:hAnsi="arial" w:cs="arial"/>
          <w:b/>
          <w:i/>
          <w:color w:val="000000"/>
          <w:sz w:val="20"/>
          <w:lang w:val="en-US" w:eastAsia="en-US" w:bidi="ar-SA"/>
        </w:rPr>
        <w:t> [*29] </w:t>
      </w:r>
      <w:r>
        <w:rPr>
          <w:rFonts w:ascii="arial" w:eastAsia="arial" w:hAnsi="arial" w:cs="arial"/>
          <w:i/>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Reyes,</w:t>
        </w:r>
      </w:hyperlink>
      <w:hyperlink r:id="rId62" w:history="1">
        <w:r>
          <w:rPr>
            <w:rFonts w:ascii="arial" w:eastAsia="arial" w:hAnsi="arial" w:cs="arial"/>
            <w:i/>
            <w:color w:val="0077CC"/>
            <w:sz w:val="20"/>
            <w:u w:val="single"/>
            <w:shd w:val="clear" w:color="auto" w:fill="FFFFFF"/>
            <w:lang w:val="en-US" w:eastAsia="en-US" w:bidi="ar-SA"/>
          </w:rPr>
          <w:t xml:space="preserve"> 903 F.3d at 424</w:t>
        </w:r>
      </w:hyperlink>
      <w:r>
        <w:rPr>
          <w:rFonts w:ascii="arial" w:eastAsia="arial" w:hAnsi="arial" w:cs="arial"/>
          <w:color w:val="000000"/>
          <w:sz w:val="20"/>
          <w:lang w:val="en-US" w:eastAsia="en-US" w:bidi="ar-SA"/>
        </w:rPr>
        <w:t xml:space="preserve">. Local Defendants have the ability to transform TWG into a vibrant mixed-income community that provides one-for-one hard replacement units and does not force current residents out of their homes.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ECF Nos. 160-21, 160-22. More specifically, Local Defendants could accommodate the development of an additional 551 units, for a total of 1, 261 units, by changing their current plan to build somewhat higher buildings (six and eight stories rather than three or four) and/or additional buildings on available sites in or adjacent to St. Paul's Quadrant (the "Alternative Plan").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160-21 at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 261 units contemplated under the Alternative Plan would be comprised of 618 hard replacement units (49% of total), 322 LIHTC units (25.5% of total) and 321 market rate units (25.5% of total). ECF No. 160-21 at 12. Moreover, no TWG residents would be forced to leave St. Paul's Quadrant under the Alternative Plan. Instead, by briefly delaying demolition, TWG residents would be able to move directly into the newly constructed buildings. </w:t>
      </w:r>
      <w:hyperlink r:id="rId64" w:history="1">
        <w:r>
          <w:rPr>
            <w:rFonts w:ascii="arial" w:eastAsia="arial" w:hAnsi="arial" w:cs="arial"/>
            <w:i/>
            <w:color w:val="0077CC"/>
            <w:sz w:val="20"/>
            <w:u w:val="single"/>
            <w:shd w:val="clear" w:color="auto" w:fill="FFFFFF"/>
            <w:lang w:val="en-US" w:eastAsia="en-US" w:bidi="ar-SA"/>
          </w:rPr>
          <w:t>Id. at 21</w:t>
        </w:r>
      </w:hyperlink>
      <w:r>
        <w:rPr>
          <w:rFonts w:ascii="arial" w:eastAsia="arial" w:hAnsi="arial" w:cs="arial"/>
          <w:color w:val="000000"/>
          <w:sz w:val="20"/>
          <w:lang w:val="en-US" w:eastAsia="en-US" w:bidi="ar-SA"/>
        </w:rPr>
        <w:t>. And unlike the current Redevelopment Plan, the Alternative Plan would allow every single TWG resident</w:t>
      </w:r>
      <w:r>
        <w:rPr>
          <w:rFonts w:ascii="arial" w:eastAsia="arial" w:hAnsi="arial" w:cs="arial"/>
          <w:b/>
          <w:color w:val="000000"/>
          <w:sz w:val="20"/>
          <w:lang w:val="en-US" w:eastAsia="en-US" w:bidi="ar-SA"/>
        </w:rPr>
        <w:t> [*30] </w:t>
      </w:r>
      <w:r>
        <w:rPr>
          <w:rFonts w:ascii="arial" w:eastAsia="arial" w:hAnsi="arial" w:cs="arial"/>
          <w:color w:val="000000"/>
          <w:sz w:val="20"/>
          <w:lang w:val="en-US" w:eastAsia="en-US" w:bidi="ar-SA"/>
        </w:rPr>
        <w:t xml:space="preserve"> to move into a hard replacement unit. Any resident who does not want to stay in/return to the redeveloped area would maintain their right to a HCV. See 6 Thus, the Alternative Plan accomplishes the goals of the CNI program by developing a mixed-income community but, unlike the Redevelopment Plan, it does not come at the expense of displacing TWG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 contends that Plaintiffs cannot establish the third step under Reyes because the Alternative Plan is not feasible, is "objectively worse" for TWG residents and the city of Norfolk, and fails to provide data on the post-development neighborhood composition. Each of these arguments is without merit.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lang w:val="en-US" w:eastAsia="en-US" w:bidi="ar-SA"/>
        </w:rPr>
        <w:t xml:space="preserve"> The Alternative Plan is Feasible.</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NRHA's argument in Sections III.C.1 and III.C.2 of its memorandum boils down to its unsubstantiated contention that a plaintiff asserting a disparate impact claim under the FHA must present a complete, fully-formed construction plan to satisfy the third step of the disparate impact burden-shifting analysis under Inclusive Communities. The problem with that argument is that neither Inclusive Communities nor its progeny, nor any case, has articulated anything that suggests such a significant,</w:t>
      </w:r>
      <w:r>
        <w:rPr>
          <w:rFonts w:ascii="arial" w:eastAsia="arial" w:hAnsi="arial" w:cs="arial"/>
          <w:b/>
          <w:color w:val="000000"/>
          <w:sz w:val="20"/>
          <w:lang w:val="en-US" w:eastAsia="en-US" w:bidi="ar-SA"/>
        </w:rPr>
        <w:t> [*31] </w:t>
      </w:r>
      <w:r>
        <w:rPr>
          <w:rFonts w:ascii="arial" w:eastAsia="arial" w:hAnsi="arial" w:cs="arial"/>
          <w:color w:val="000000"/>
          <w:sz w:val="20"/>
          <w:lang w:val="en-US" w:eastAsia="en-US" w:bidi="ar-SA"/>
        </w:rPr>
        <w:t xml:space="preserve"> costly showing is required. Nor can such a requirement reasonably be inferred. It would be ridiculous to require that plaintiffs in disparate impact actions-who almost always are low-income individuals living in disenfranchised, low-opportunity communities out of necessity rather than choice-hire architects, do soil testing, hire engineers and construction contracts, and otherwise expend money and resources necessary to formulate an exhaustive construction plan. Yet that is exactly the unrealistic and unsustainable burden Local Defendants asks this Court to impose on Plaintiffs and establish as precedent for future disparate impact cases.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252-1 at 100:16-101:1 (NRHA's counsel implying that Plaintiffs' expert should have "had a budget of $ 100,000 to analyze how the [Redevelopment Plan] and the [Alternative Plan] would affect the residents of [TWG].").7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Consistent with Plaintiffs' actual burden under   </w:t>
      </w:r>
      <w:r>
        <w:rPr>
          <w:rFonts w:ascii="arial" w:eastAsia="arial" w:hAnsi="arial" w:cs="arial"/>
          <w:i/>
          <w:color w:val="000000"/>
          <w:sz w:val="20"/>
          <w:lang w:val="en-US" w:eastAsia="en-US" w:bidi="ar-SA"/>
        </w:rPr>
        <w:t>Inclusive Communities</w:t>
      </w:r>
      <w:r>
        <w:rPr>
          <w:rFonts w:ascii="arial" w:eastAsia="arial" w:hAnsi="arial" w:cs="arial"/>
          <w:color w:val="000000"/>
          <w:sz w:val="20"/>
          <w:lang w:val="en-US" w:eastAsia="en-US" w:bidi="ar-SA"/>
        </w:rPr>
        <w:t xml:space="preserve">, Plaintiffs' expert Benjamin Warnke prepared a feasibility analysis.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160-21 at 3. At his deposition, Warnke testified that the feasibility analysis he performed in this matter is standard at this stage of a development project and "characteristic</w:t>
      </w:r>
      <w:r>
        <w:rPr>
          <w:rFonts w:ascii="arial" w:eastAsia="arial" w:hAnsi="arial" w:cs="arial"/>
          <w:b/>
          <w:color w:val="000000"/>
          <w:sz w:val="20"/>
          <w:lang w:val="en-US" w:eastAsia="en-US" w:bidi="ar-SA"/>
        </w:rPr>
        <w:t> [*32] </w:t>
      </w:r>
      <w:r>
        <w:rPr>
          <w:rFonts w:ascii="arial" w:eastAsia="arial" w:hAnsi="arial" w:cs="arial"/>
          <w:color w:val="000000"/>
          <w:sz w:val="20"/>
          <w:lang w:val="en-US" w:eastAsia="en-US" w:bidi="ar-SA"/>
        </w:rPr>
        <w:t xml:space="preserve"> of" the process undertaken in previous projects. ECF No. 224-5 at 165:18-166:1;   </w:t>
      </w:r>
      <w:r>
        <w:rPr>
          <w:rFonts w:ascii="arial" w:eastAsia="arial" w:hAnsi="arial" w:cs="arial"/>
          <w:i/>
          <w:color w:val="000000"/>
          <w:sz w:val="20"/>
          <w:lang w:val="en-US" w:eastAsia="en-US" w:bidi="ar-SA"/>
        </w:rPr>
        <w:t>see also id</w:t>
      </w:r>
      <w:r>
        <w:rPr>
          <w:rFonts w:ascii="arial" w:eastAsia="arial" w:hAnsi="arial" w:cs="arial"/>
          <w:color w:val="000000"/>
          <w:sz w:val="20"/>
          <w:lang w:val="en-US" w:eastAsia="en-US" w:bidi="ar-SA"/>
        </w:rPr>
        <w:t xml:space="preserve">. at 165:5-13 (testifying that the "due diligence" identified by the City, including architectural drawings, schematics, and soil borings, "would not ordinarily be done at this point in a development process"). As a result, NRHA's argument that Warnke formed his opinions without facts and data necessary for an exhaustive construction plan, ECF No. 243 at 24-26, simply misstates the law.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NRHA cites its own expert to rebut the merits of Warnke's opinions.   </w:t>
      </w:r>
      <w:r>
        <w:rPr>
          <w:rFonts w:ascii="arial" w:eastAsia="arial" w:hAnsi="arial" w:cs="arial"/>
          <w:i/>
          <w:color w:val="000000"/>
          <w:sz w:val="20"/>
          <w:lang w:val="en-US" w:eastAsia="en-US" w:bidi="ar-SA"/>
        </w:rPr>
        <w:t xml:space="preserve">See </w:t>
      </w:r>
      <w:hyperlink r:id="rId64" w:history="1">
        <w:r>
          <w:rPr>
            <w:rFonts w:ascii="arial" w:eastAsia="arial" w:hAnsi="arial" w:cs="arial"/>
            <w:i/>
            <w:color w:val="0077CC"/>
            <w:sz w:val="20"/>
            <w:u w:val="single"/>
            <w:shd w:val="clear" w:color="auto" w:fill="FFFFFF"/>
            <w:lang w:val="en-US" w:eastAsia="en-US" w:bidi="ar-SA"/>
          </w:rPr>
          <w:t>id</w:t>
        </w:r>
      </w:hyperlink>
      <w:hyperlink r:id="rId64" w:history="1">
        <w:r>
          <w:rPr>
            <w:rFonts w:ascii="arial" w:eastAsia="arial" w:hAnsi="arial" w:cs="arial"/>
            <w:i/>
            <w:color w:val="0077CC"/>
            <w:sz w:val="20"/>
            <w:u w:val="single"/>
            <w:shd w:val="clear" w:color="auto" w:fill="FFFFFF"/>
            <w:lang w:val="en-US" w:eastAsia="en-US" w:bidi="ar-SA"/>
          </w:rPr>
          <w:t>. at 27</w:t>
        </w:r>
      </w:hyperlink>
      <w:r>
        <w:rPr>
          <w:rFonts w:ascii="arial" w:eastAsia="arial" w:hAnsi="arial" w:cs="arial"/>
          <w:color w:val="000000"/>
          <w:sz w:val="20"/>
          <w:lang w:val="en-US" w:eastAsia="en-US" w:bidi="ar-SA"/>
        </w:rPr>
        <w:t xml:space="preserve"> (citing declaration and testimony of Nina Liou). Doing so demonstrates that a genuine dispute of material fact exists regarding the viability of the Alternative Plan, which precludes summary judgment.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lang w:val="en-US" w:eastAsia="en-US" w:bidi="ar-SA"/>
        </w:rPr>
        <w:t xml:space="preserve"> Whether the Alternative Plan is Objectively Better for TWG Residents and the City of Norfolk (it is) Reflects a Dispute of Material Fact.</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Curiously, NRHA includes in its motion an argument that the Alternative Plan is "objectively worse" than the Redevelopment Plan based on a number of factual allegations. ECF No. 243 at 28-29. NRHA argues, among other things, that the Alternative Plan delivers fewer affordable</w:t>
      </w:r>
      <w:r>
        <w:rPr>
          <w:rFonts w:ascii="arial" w:eastAsia="arial" w:hAnsi="arial" w:cs="arial"/>
          <w:b/>
          <w:color w:val="000000"/>
          <w:sz w:val="20"/>
          <w:lang w:val="en-US" w:eastAsia="en-US" w:bidi="ar-SA"/>
        </w:rPr>
        <w:t> [*33] </w:t>
      </w:r>
      <w:r>
        <w:rPr>
          <w:rFonts w:ascii="arial" w:eastAsia="arial" w:hAnsi="arial" w:cs="arial"/>
          <w:color w:val="000000"/>
          <w:sz w:val="20"/>
          <w:lang w:val="en-US" w:eastAsia="en-US" w:bidi="ar-SA"/>
        </w:rPr>
        <w:t xml:space="preserve"> housing units, traps TWG residents in a years-long construction site yet somehow simultaneously provides no housing to TWG residents during redevelopment, and fails to create a mixed-income community.   </w:t>
      </w:r>
      <w:r>
        <w:rPr>
          <w:rFonts w:ascii="arial" w:eastAsia="arial" w:hAnsi="arial" w:cs="arial"/>
          <w:i/>
          <w:color w:val="000000"/>
          <w:sz w:val="20"/>
          <w:lang w:val="en-US" w:eastAsia="en-US" w:bidi="ar-SA"/>
        </w:rPr>
        <w:t>See id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ECF No. 243-9 (a table of purported differences between the Redevelopment Plan and the Alternative Plan, presumably prepared by NRHA's counsel). Of course, NRHA fails to provide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record citations to substantiate its conclusions. In any event, Plaintiffs dispute these bald conclusions and NRHA's argument demonstrates that a genuine dispute of material fact exists regarding the viability and benefits of the Alternative Plan, which precludes summary judgment.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lang w:val="en-US" w:eastAsia="en-US" w:bidi="ar-SA"/>
        </w:rPr>
        <w:t xml:space="preserve"> Plaintiffs Are Not Required to Show Evidence of Post-Development Neighborhood Composition.</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Improperly relying on   </w:t>
      </w:r>
      <w:hyperlink r:id="rId66" w:history="1">
        <w:r>
          <w:rPr>
            <w:rFonts w:ascii="arial" w:eastAsia="arial" w:hAnsi="arial" w:cs="arial"/>
            <w:i/>
            <w:color w:val="0077CC"/>
            <w:sz w:val="20"/>
            <w:u w:val="single"/>
            <w:shd w:val="clear" w:color="auto" w:fill="FFFFFF"/>
            <w:lang w:val="en-US" w:eastAsia="en-US" w:bidi="ar-SA"/>
          </w:rPr>
          <w:t>Darst-Webbe Tenant Ass'n Bd. v. St. Louis Hous. Auth.</w:t>
        </w:r>
      </w:hyperlink>
      <w:hyperlink r:id="rId66" w:history="1">
        <w:r>
          <w:rPr>
            <w:rFonts w:ascii="arial" w:eastAsia="arial" w:hAnsi="arial" w:cs="arial"/>
            <w:i/>
            <w:color w:val="0077CC"/>
            <w:sz w:val="20"/>
            <w:u w:val="single"/>
            <w:shd w:val="clear" w:color="auto" w:fill="FFFFFF"/>
            <w:lang w:val="en-US" w:eastAsia="en-US" w:bidi="ar-SA"/>
          </w:rPr>
          <w:t>, 417 F.3d 898 (8th Cir. 2005)</w:t>
        </w:r>
      </w:hyperlink>
      <w:r>
        <w:rPr>
          <w:rFonts w:ascii="arial" w:eastAsia="arial" w:hAnsi="arial" w:cs="arial"/>
          <w:color w:val="000000"/>
          <w:sz w:val="20"/>
          <w:lang w:val="en-US" w:eastAsia="en-US" w:bidi="ar-SA"/>
        </w:rPr>
        <w:t xml:space="preserve">, NRHA argues that Plaintiffs must present evidence reliably predicting the post-development composition of TWG to satisfy the third step in the burden-shifting framework. ECF No. 243 at 29-30. First,   </w:t>
      </w:r>
      <w:r>
        <w:rPr>
          <w:rFonts w:ascii="arial" w:eastAsia="arial" w:hAnsi="arial" w:cs="arial"/>
          <w:i/>
          <w:color w:val="000000"/>
          <w:sz w:val="20"/>
          <w:lang w:val="en-US" w:eastAsia="en-US" w:bidi="ar-SA"/>
        </w:rPr>
        <w:t>Darst-Webbe</w:t>
      </w:r>
      <w:r>
        <w:rPr>
          <w:rFonts w:ascii="arial" w:eastAsia="arial" w:hAnsi="arial" w:cs="arial"/>
          <w:color w:val="000000"/>
          <w:sz w:val="20"/>
          <w:lang w:val="en-US" w:eastAsia="en-US" w:bidi="ar-SA"/>
        </w:rPr>
        <w:t xml:space="preserve"> is not controlling precedent and, in any event, the language cited by the City is dicta.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407 F.3d at 902</w:t>
        </w:r>
      </w:hyperlink>
      <w:r>
        <w:rPr>
          <w:rFonts w:ascii="arial" w:eastAsia="arial" w:hAnsi="arial" w:cs="arial"/>
          <w:color w:val="000000"/>
          <w:sz w:val="20"/>
          <w:lang w:val="en-US" w:eastAsia="en-US" w:bidi="ar-SA"/>
        </w:rPr>
        <w:t xml:space="preserve"> (assuming</w:t>
      </w:r>
      <w:r>
        <w:rPr>
          <w:rFonts w:ascii="arial" w:eastAsia="arial" w:hAnsi="arial" w:cs="arial"/>
          <w:b/>
          <w:color w:val="000000"/>
          <w:sz w:val="20"/>
          <w:lang w:val="en-US" w:eastAsia="en-US" w:bidi="ar-SA"/>
        </w:rPr>
        <w:t> [*34] </w:t>
      </w:r>
      <w:r>
        <w:rPr>
          <w:rFonts w:ascii="arial" w:eastAsia="arial" w:hAnsi="arial" w:cs="arial"/>
          <w:color w:val="000000"/>
          <w:sz w:val="20"/>
          <w:lang w:val="en-US" w:eastAsia="en-US" w:bidi="ar-SA"/>
        </w:rPr>
        <w:t xml:space="preserve"> "for the sake of our analysis" that plaintiffs established a prima facie case before discussing burden of proof under second and third steps). NRHA cites no legal authority in the Fourth Circuit because no court has analyzed the third step of the burden-shifting framework for FHA disparate impact claims.8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w:t>
      </w:r>
      <w:r>
        <w:rPr>
          <w:rFonts w:ascii="arial" w:eastAsia="arial" w:hAnsi="arial" w:cs="arial"/>
          <w:i/>
          <w:color w:val="000000"/>
          <w:sz w:val="20"/>
          <w:lang w:val="en-US" w:eastAsia="en-US" w:bidi="ar-SA"/>
        </w:rPr>
        <w:t>Darst-Webbe</w:t>
      </w:r>
      <w:r>
        <w:rPr>
          <w:rFonts w:ascii="arial" w:eastAsia="arial" w:hAnsi="arial" w:cs="arial"/>
          <w:color w:val="000000"/>
          <w:sz w:val="20"/>
          <w:lang w:val="en-US" w:eastAsia="en-US" w:bidi="ar-SA"/>
        </w:rPr>
        <w:t xml:space="preserve"> is inapposite. In that case, the plaintiffs broadly alleged that any decrease in the number of available low-income housing units might   </w:t>
      </w:r>
      <w:r>
        <w:rPr>
          <w:rFonts w:ascii="arial" w:eastAsia="arial" w:hAnsi="arial" w:cs="arial"/>
          <w:i/>
          <w:color w:val="000000"/>
          <w:sz w:val="20"/>
          <w:lang w:val="en-US" w:eastAsia="en-US" w:bidi="ar-SA"/>
        </w:rPr>
        <w:t>potentially</w:t>
      </w:r>
      <w:r>
        <w:rPr>
          <w:rFonts w:ascii="arial" w:eastAsia="arial" w:hAnsi="arial" w:cs="arial"/>
          <w:color w:val="000000"/>
          <w:sz w:val="20"/>
          <w:lang w:val="en-US" w:eastAsia="en-US" w:bidi="ar-SA"/>
        </w:rPr>
        <w:t xml:space="preserve"> disproportionately affect Black households and families because they were more likely to comprise the low-income population of in St. Louis that was competing for the limited number of affordable housing units.   </w:t>
      </w:r>
      <w:hyperlink r:id="rId68" w:history="1">
        <w:r>
          <w:rPr>
            <w:rFonts w:ascii="arial" w:eastAsia="arial" w:hAnsi="arial" w:cs="arial"/>
            <w:i/>
            <w:color w:val="0077CC"/>
            <w:sz w:val="20"/>
            <w:u w:val="single"/>
            <w:shd w:val="clear" w:color="auto" w:fill="FFFFFF"/>
            <w:lang w:val="en-US" w:eastAsia="en-US" w:bidi="ar-SA"/>
          </w:rPr>
          <w:t>Darst-Webbe Tenant Ass'n Bd. v. St. Louis Hous. Auth.</w:t>
        </w:r>
      </w:hyperlink>
      <w:hyperlink r:id="rId68" w:history="1">
        <w:r>
          <w:rPr>
            <w:rFonts w:ascii="arial" w:eastAsia="arial" w:hAnsi="arial" w:cs="arial"/>
            <w:i/>
            <w:color w:val="0077CC"/>
            <w:sz w:val="20"/>
            <w:u w:val="single"/>
            <w:shd w:val="clear" w:color="auto" w:fill="FFFFFF"/>
            <w:lang w:val="en-US" w:eastAsia="en-US" w:bidi="ar-SA"/>
          </w:rPr>
          <w:t>, 299 F. Supp. 2d 952, 955-57 (E.D. Mo. 2004)</w:t>
        </w:r>
      </w:hyperlink>
      <w:r>
        <w:rPr>
          <w:rFonts w:ascii="arial" w:eastAsia="arial" w:hAnsi="arial" w:cs="arial"/>
          <w:color w:val="000000"/>
          <w:sz w:val="20"/>
          <w:lang w:val="en-US" w:eastAsia="en-US" w:bidi="ar-SA"/>
        </w:rPr>
        <w:t>. Evidence reliably predicting the post-development composition was necessary in that case because the disparate impact alleged was abstract and undetermined. Here, the disparate impact flows directly from the reduction in the number of PBVs under the Redevelopment Plan and the relocation of almost all TWG residents into areas of the city characterized by racial segregation, often with high rates of poverty, or out of the city altogether. NRHA cannot</w:t>
      </w:r>
      <w:r>
        <w:rPr>
          <w:rFonts w:ascii="arial" w:eastAsia="arial" w:hAnsi="arial" w:cs="arial"/>
          <w:b/>
          <w:color w:val="000000"/>
          <w:sz w:val="20"/>
          <w:lang w:val="en-US" w:eastAsia="en-US" w:bidi="ar-SA"/>
        </w:rPr>
        <w:t> [*35] </w:t>
      </w:r>
      <w:r>
        <w:rPr>
          <w:rFonts w:ascii="arial" w:eastAsia="arial" w:hAnsi="arial" w:cs="arial"/>
          <w:color w:val="000000"/>
          <w:sz w:val="20"/>
          <w:lang w:val="en-US" w:eastAsia="en-US" w:bidi="ar-SA"/>
        </w:rPr>
        <w:t xml:space="preserve"> dispute that the relocation data shows as much. Its only answer is that such displacement is "temporary"-a vague term that already reflects a span of many years. Of course, with every passing year such "temporary" displacement reduces the likelihood that TWG residents will return. Ex. E, Kownack Dep. Tr. at 119:9-15. If implemented, the Alternative Plan would have less discriminatory effect by virtue of requiring enough PBVs for every TWG resident. The evidence reliably predicting a reduction in disparate impact under the Alternative Plan is the plan itself.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CONCLUSION</w:t>
      </w:r>
      <w:r>
        <w:rPr>
          <w:rFonts w:ascii="arial" w:eastAsia="arial" w:hAnsi="arial" w:cs="arial"/>
          <w:b/>
          <w:color w:val="000000"/>
          <w:sz w:val="20"/>
          <w:lang w:val="en-US" w:eastAsia="en-US" w:bidi="ar-SA"/>
        </w:rPr>
        <w:t xml:space="preserve">  </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foregoing reasons, Plaintiffs respectfully request the Court deny Defendant Norfolk Redevelopment and Housing Authority's Motion for Summary Judgment (ECF No. 242).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Dated: September 10,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Respectfully submitted,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w:t>
      </w:r>
      <w:r>
        <w:rPr>
          <w:rFonts w:ascii="arial" w:eastAsia="arial" w:hAnsi="arial" w:cs="arial"/>
          <w:i/>
          <w:color w:val="000000"/>
          <w:sz w:val="20"/>
          <w:lang w:val="en-US" w:eastAsia="en-US" w:bidi="ar-SA"/>
        </w:rPr>
        <w:t xml:space="preserve">    </w:t>
      </w:r>
      <w:r>
        <w:rPr>
          <w:rFonts w:ascii="arial" w:eastAsia="arial" w:hAnsi="arial" w:cs="arial"/>
          <w:i/>
          <w:color w:val="000000"/>
          <w:sz w:val="20"/>
          <w:u w:val="single"/>
          <w:lang w:val="en-US" w:eastAsia="en-US" w:bidi="ar-SA"/>
        </w:rPr>
        <w:t>/s/ Stanley J. Brown</w:t>
      </w:r>
      <w:r>
        <w:rPr>
          <w:rFonts w:ascii="arial" w:eastAsia="arial" w:hAnsi="arial" w:cs="arial"/>
          <w:i/>
          <w:color w:val="000000"/>
          <w:sz w:val="20"/>
          <w:lang w:val="en-US" w:eastAsia="en-US" w:bidi="ar-SA"/>
        </w:rPr>
        <w:t xml:space="preserve">  </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Stanley J. Brown (VSB #40339)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Baron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Matthew Ducharme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W.D. Mitchell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Zachary Siegel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HOGAN LOVELLS US LLP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390 Madison Avenue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 NY 10017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Tel: (212) 918-3000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(212) 918-3100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stanley.brown@hoganlovells.com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[*36] </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david.baron@hoganlovells.com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matthew.ducharme@hoganlovells.com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david.mitchell@hoganlovells.com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zachary.siegel@hoganlovells.com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 M. Talotta (VSB #44590)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HOGAN LOVELLS US LLP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8350 Broad Street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17th Floor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Tysons, VA 22102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Tel: (703) 610-6100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(703) 610-6200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jon.talotta@hoganlovells.com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A. Burns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HOGAN LOVELLS US LLP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100 International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Suite 2000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Baltimore, MD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Tel: (410) 659-2700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(410 659-2701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michael.burns@hoganlovells.com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Stevie DeGroff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HOGAN LOVELLS US LLP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Columbia Square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555 Thirteenth Street, NW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20004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Tel: (202) 637-5600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(202) 637-5910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stevie.degroff@hoganlovells.com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Black (VSB # 70813)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Legal Aid Society of Eastern Virginia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125 St. Paul's Blvd., Ste. 400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Norfolk, VA 23510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Tel: (757) 627-5423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(757) 622-8102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sarahb@laseva.org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Silverstein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Edward George Caspar (  </w:t>
      </w:r>
      <w:r>
        <w:rPr>
          <w:rFonts w:ascii="arial" w:eastAsia="arial" w:hAnsi="arial" w:cs="arial"/>
          <w:i/>
          <w:color w:val="000000"/>
          <w:sz w:val="20"/>
          <w:lang w:val="en-US" w:eastAsia="en-US" w:bidi="ar-SA"/>
        </w:rPr>
        <w:t>pro hac vice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Committee for Civil Rights Under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1500 K Street NW,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Suite 900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20005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Phone: (202) 662-8316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Fax: (202) 783-0857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tsilverstein@lawyerscommittee.org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ecaspar@lawyerscommittee.org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Counsel for</w:t>
      </w:r>
      <w:r>
        <w:rPr>
          <w:rFonts w:ascii="arial" w:eastAsia="arial" w:hAnsi="arial" w:cs="arial"/>
          <w:b/>
          <w:i/>
          <w:color w:val="000000"/>
          <w:sz w:val="20"/>
          <w:lang w:val="en-US" w:eastAsia="en-US" w:bidi="ar-SA"/>
        </w:rPr>
        <w:t> [*37] </w:t>
      </w:r>
      <w:r>
        <w:rPr>
          <w:rFonts w:ascii="arial" w:eastAsia="arial" w:hAnsi="arial" w:cs="arial"/>
          <w:i/>
          <w:color w:val="000000"/>
          <w:sz w:val="20"/>
          <w:lang w:val="en-US" w:eastAsia="en-US" w:bidi="ar-SA"/>
        </w:rPr>
        <w:t xml:space="preserve"> Plaintiffs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NRHA does not dispute that Plaintiffs have identified three challenged practices for purposes of their FHA disparate impact claim: (1) demolishing all 618 units of TWG and displacing all residents without providing replacement housing, which has further reduced affordable housing in the City; (2) using HCVs instead of reserving sufficient hard replacement units for displaced residents; and (3) forcing current TWG residents into segregated, low-income parts of the City, or out of Norfolk entirely, in violation of Local Defendants' obligations under the HUD CNI Grant and the FHA itself (together, the "Challenged Practices"). ECF No. 158 at 14; see also ECF No. 243 at 15-16.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The average TWG resident earns $ 12,000 a year and is considered either very low-income or extremely low-income under both federal poverty guidelines and the annual income categories set by HUD for assisted rental housing in Norfolk. ECF No. 227 P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Indeed, NRHA's Chief Community Development Officer John Kownack agrees that adding HCVs would further strain an already tight affordable housing market. Ex. E, Kownack Dep. Tr. at 317:14-17.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To be clear, Local Defendants are   </w:t>
      </w:r>
      <w:r>
        <w:rPr>
          <w:rFonts w:ascii="arial" w:eastAsia="arial" w:hAnsi="arial" w:cs="arial"/>
          <w:i/>
          <w:color w:val="000000"/>
          <w:sz w:val="20"/>
          <w:lang w:val="en-US" w:eastAsia="en-US" w:bidi="ar-SA"/>
        </w:rPr>
        <w:t>required</w:t>
      </w:r>
      <w:r>
        <w:rPr>
          <w:rFonts w:ascii="arial" w:eastAsia="arial" w:hAnsi="arial" w:cs="arial"/>
          <w:b/>
          <w:color w:val="000000"/>
          <w:sz w:val="20"/>
          <w:lang w:val="en-US" w:eastAsia="en-US" w:bidi="ar-SA"/>
        </w:rPr>
        <w:t> [*38] </w:t>
      </w:r>
      <w:r>
        <w:rPr>
          <w:rFonts w:ascii="arial" w:eastAsia="arial" w:hAnsi="arial" w:cs="arial"/>
          <w:color w:val="000000"/>
          <w:sz w:val="20"/>
          <w:lang w:val="en-US" w:eastAsia="en-US" w:bidi="ar-SA"/>
        </w:rPr>
        <w:t xml:space="preserve"> under the CNI Grant Agreement to "ensure[ ] that current residents benefit from th[e] transformation by preserving affordable housing in the neighborhood or providing the choice to move to affordable housing in   </w:t>
      </w:r>
      <w:r>
        <w:rPr>
          <w:rFonts w:ascii="arial" w:eastAsia="arial" w:hAnsi="arial" w:cs="arial"/>
          <w:i/>
          <w:color w:val="000000"/>
          <w:sz w:val="20"/>
          <w:lang w:val="en-US" w:eastAsia="en-US" w:bidi="ar-SA"/>
        </w:rPr>
        <w:t>another neighborhood of opportunity</w:t>
      </w:r>
      <w:r>
        <w:rPr>
          <w:rFonts w:ascii="arial" w:eastAsia="arial" w:hAnsi="arial" w:cs="arial"/>
          <w:color w:val="000000"/>
          <w:sz w:val="20"/>
          <w:lang w:val="en-US" w:eastAsia="en-US" w:bidi="ar-SA"/>
        </w:rPr>
        <w:t xml:space="preserve">." ECF No. 158-3 at NRHA00002617 (emphasis added). To state the obvious, they have failed to comply with this requirement.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City employee Susan Perry admitted that the only place the Redevelopment Plan is intended to desegregate is TWG.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ECF No. 160-16 at 118:19-122:3. Logically, there are only two ways to achieve that goal: add non-Black residents to the existing TWG population or replace a portion of the existing TWG population with non-Black residents. The former increases the total population of TWG while the latter maintains the same population. To state the obvious, the Redevelopment Plan follows the latter approach and purposefully displaces Black residents in order to bring non-Black residents into the redeveloped TWG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Indeed, Brinshore, the developer working on the Redevelopment Plan, has developed other CNI projects that provided one-for-one hard replacement units while also providing HCVs to those residents</w:t>
      </w:r>
      <w:r>
        <w:rPr>
          <w:rFonts w:ascii="arial" w:eastAsia="arial" w:hAnsi="arial" w:cs="arial"/>
          <w:b/>
          <w:color w:val="000000"/>
          <w:sz w:val="20"/>
          <w:lang w:val="en-US" w:eastAsia="en-US" w:bidi="ar-SA"/>
        </w:rPr>
        <w:t> [*39] </w:t>
      </w:r>
      <w:r>
        <w:rPr>
          <w:rFonts w:ascii="arial" w:eastAsia="arial" w:hAnsi="arial" w:cs="arial"/>
          <w:color w:val="000000"/>
          <w:sz w:val="20"/>
          <w:lang w:val="en-US" w:eastAsia="en-US" w:bidi="ar-SA"/>
        </w:rPr>
        <w:t xml:space="preserve"> who wanted one. See ECF No. 160-24 at 49:18-52:12.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Indeed, requiring a plaintiff to prepare an exhaustive construction plan would put such an enormous burden on plaintiffs seeking to challenge a redevelopment plan, so as to give cities such as Norfolk free reign to adopt a discriminatory redevelopment plans without the risk of a meaningful challenge under the FHA.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Despite having an opportunity to issue similar dicta and/or cite   </w:t>
      </w:r>
      <w:r>
        <w:rPr>
          <w:rFonts w:ascii="arial" w:eastAsia="arial" w:hAnsi="arial" w:cs="arial"/>
          <w:i/>
          <w:color w:val="000000"/>
          <w:sz w:val="20"/>
          <w:lang w:val="en-US" w:eastAsia="en-US" w:bidi="ar-SA"/>
        </w:rPr>
        <w:t>Darst-Webbe</w:t>
      </w:r>
      <w:r>
        <w:rPr>
          <w:rFonts w:ascii="arial" w:eastAsia="arial" w:hAnsi="arial" w:cs="arial"/>
          <w:color w:val="000000"/>
          <w:sz w:val="20"/>
          <w:lang w:val="en-US" w:eastAsia="en-US" w:bidi="ar-SA"/>
        </w:rPr>
        <w:t xml:space="preserve">, the Fourth Circuit in   </w:t>
      </w:r>
      <w:r>
        <w:rPr>
          <w:rFonts w:ascii="arial" w:eastAsia="arial" w:hAnsi="arial" w:cs="arial"/>
          <w:i/>
          <w:color w:val="000000"/>
          <w:sz w:val="20"/>
          <w:lang w:val="en-US" w:eastAsia="en-US" w:bidi="ar-SA"/>
        </w:rPr>
        <w:t>Reyes</w:t>
      </w:r>
      <w:r>
        <w:rPr>
          <w:rFonts w:ascii="arial" w:eastAsia="arial" w:hAnsi="arial" w:cs="arial"/>
          <w:color w:val="000000"/>
          <w:sz w:val="20"/>
          <w:lang w:val="en-US" w:eastAsia="en-US" w:bidi="ar-SA"/>
        </w:rPr>
        <w:t xml:space="preserve"> declined to do so.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903 F.3d at 432-33</w:t>
        </w:r>
      </w:hyperlink>
      <w:r>
        <w:rPr>
          <w:rFonts w:ascii="arial" w:eastAsia="arial" w:hAnsi="arial" w:cs="arial"/>
          <w:color w:val="000000"/>
          <w:sz w:val="20"/>
          <w:lang w:val="en-US" w:eastAsia="en-US" w:bidi="ar-SA"/>
        </w:rPr>
        <w:t>.</w:t>
      </w:r>
    </w:p>
    <w:p>
      <w:pPr>
        <w:rPr>
          <w:lang w:val="en-US" w:eastAsia="en-US" w:bidi="ar-SA"/>
        </w:rPr>
      </w:pPr>
    </w:p>
    <w:p>
      <w:pPr>
        <w:ind w:left="200"/>
        <w:rPr>
          <w:lang w:val="en-US" w:eastAsia="en-US" w:bidi="ar-SA"/>
        </w:rPr>
      </w:pPr>
      <w:r>
        <w:rPr>
          <w:lang w:val="en-US" w:eastAsia="en-US" w:bidi="ar-SA"/>
        </w:rPr>
        <w:br/>
      </w:r>
      <w:r>
        <w:pict>
          <v:line id="_x0000_s1038"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Citizen, Inc. V. United States Department Of Housing And Urban Development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Of New York Et Al V. United States Environmental Protection Agency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Bryant Et Al V. City Of Norfolk Et 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BRYANT v. CITY OF NORFOLK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footer" Target="footer6.xml" /><Relationship Id="rId21" Type="http://schemas.openxmlformats.org/officeDocument/2006/relationships/hyperlink" Target="https://advance.lexis.com/api/document?collection=briefs-pleadings-motions&amp;id=urn:contentItem:5WT8-4171-F2F4-G2K9-00000-00&amp;context=1516831" TargetMode="External" /><Relationship Id="rId22" Type="http://schemas.openxmlformats.org/officeDocument/2006/relationships/header" Target="header7.xml" /><Relationship Id="rId23" Type="http://schemas.openxmlformats.org/officeDocument/2006/relationships/header" Target="header8.xml" /><Relationship Id="rId24" Type="http://schemas.openxmlformats.org/officeDocument/2006/relationships/footer" Target="footer7.xml" /><Relationship Id="rId25" Type="http://schemas.openxmlformats.org/officeDocument/2006/relationships/footer" Target="footer8.xml" /><Relationship Id="rId26" Type="http://schemas.openxmlformats.org/officeDocument/2006/relationships/header" Target="header9.xml" /><Relationship Id="rId27" Type="http://schemas.openxmlformats.org/officeDocument/2006/relationships/footer" Target="footer9.xml" /><Relationship Id="rId28" Type="http://schemas.openxmlformats.org/officeDocument/2006/relationships/hyperlink" Target="https://advance.lexis.com/api/document?collection=briefs-pleadings-motions&amp;id=urn:contentItem:61T6-Y9T1-JGPY-X3FT-00000-00&amp;context=1516831" TargetMode="External" /><Relationship Id="rId29" Type="http://schemas.openxmlformats.org/officeDocument/2006/relationships/header" Target="header10.xml" /><Relationship Id="rId3" Type="http://schemas.openxmlformats.org/officeDocument/2006/relationships/fontTable" Target="fontTable.xml" /><Relationship Id="rId30" Type="http://schemas.openxmlformats.org/officeDocument/2006/relationships/header" Target="header11.xml" /><Relationship Id="rId31" Type="http://schemas.openxmlformats.org/officeDocument/2006/relationships/footer" Target="footer10.xml" /><Relationship Id="rId32" Type="http://schemas.openxmlformats.org/officeDocument/2006/relationships/footer" Target="footer11.xml" /><Relationship Id="rId33" Type="http://schemas.openxmlformats.org/officeDocument/2006/relationships/header" Target="header12.xml" /><Relationship Id="rId34" Type="http://schemas.openxmlformats.org/officeDocument/2006/relationships/footer" Target="footer12.xml" /><Relationship Id="rId35" Type="http://schemas.openxmlformats.org/officeDocument/2006/relationships/hyperlink" Target="https://advance.lexis.com/api/document?collection=briefs-pleadings-motions&amp;id=urn:contentItem:63KR-03N1-JT99-20C4-00000-00&amp;context=1516831" TargetMode="External" /><Relationship Id="rId36" Type="http://schemas.openxmlformats.org/officeDocument/2006/relationships/header" Target="header13.xml" /><Relationship Id="rId37" Type="http://schemas.openxmlformats.org/officeDocument/2006/relationships/header" Target="header14.xml" /><Relationship Id="rId38" Type="http://schemas.openxmlformats.org/officeDocument/2006/relationships/footer" Target="footer13.xml" /><Relationship Id="rId39" Type="http://schemas.openxmlformats.org/officeDocument/2006/relationships/footer" Target="footer14.xml" /><Relationship Id="rId4" Type="http://schemas.openxmlformats.org/officeDocument/2006/relationships/image" Target="media/image1.png" /><Relationship Id="rId40" Type="http://schemas.openxmlformats.org/officeDocument/2006/relationships/header" Target="header15.xml" /><Relationship Id="rId41" Type="http://schemas.openxmlformats.org/officeDocument/2006/relationships/footer" Target="footer15.xml" /><Relationship Id="rId42" Type="http://schemas.openxmlformats.org/officeDocument/2006/relationships/hyperlink" Target="https://advance.lexis.com/api/document?collection=briefs-pleadings-motions&amp;id=urn:contentItem:6440-RGD1-F1P7-B329-00000-00&amp;context=1516831" TargetMode="External" /><Relationship Id="rId43" Type="http://schemas.openxmlformats.org/officeDocument/2006/relationships/hyperlink" Target="https://advance.lexis.com/api/document?collection=statutes-legislation&amp;id=urn:contentItem:8SHT-0722-D6RV-H1F6-00000-00&amp;context=1516831" TargetMode="External" /><Relationship Id="rId44" Type="http://schemas.openxmlformats.org/officeDocument/2006/relationships/hyperlink" Target="https://advance.lexis.com/api/document?collection=cases&amp;id=urn:contentItem:3XPD-GR20-00KR-C485-00000-00&amp;context=1516831" TargetMode="External" /><Relationship Id="rId45" Type="http://schemas.openxmlformats.org/officeDocument/2006/relationships/hyperlink" Target="https://advance.lexis.com/api/document?collection=cases&amp;id=urn:contentItem:3S11-TJB0-003D-K3HP-00000-00&amp;context=1516831" TargetMode="External" /><Relationship Id="rId46" Type="http://schemas.openxmlformats.org/officeDocument/2006/relationships/hyperlink" Target="https://advance.lexis.com/api/document?collection=administrative-codes&amp;id=urn:contentItem:6006-8CM1-DYB7-W278-00000-00&amp;context=1516831" TargetMode="External" /><Relationship Id="rId47" Type="http://schemas.openxmlformats.org/officeDocument/2006/relationships/hyperlink" Target="https://advance.lexis.com/api/document?collection=cases&amp;id=urn:contentItem:3S4X-2P30-006F-M16C-00000-00&amp;context=1516831" TargetMode="External" /><Relationship Id="rId48" Type="http://schemas.openxmlformats.org/officeDocument/2006/relationships/hyperlink" Target="https://advance.lexis.com/api/document?collection=statutes-legislation&amp;id=urn:contentItem:5GYC-2421-6N19-F165-00000-00&amp;context=1516831" TargetMode="External" /><Relationship Id="rId49" Type="http://schemas.openxmlformats.org/officeDocument/2006/relationships/hyperlink" Target="https://advance.lexis.com/api/document?collection=cases&amp;id=urn:contentItem:5FGW-9211-F04K-M0G0-00000-00&amp;context=1516831" TargetMode="External" /><Relationship Id="rId5" Type="http://schemas.openxmlformats.org/officeDocument/2006/relationships/hyperlink" Target="https://advance.lexis.com/api/document?id=urn:contentItem:5WT8-4171-F2F4-G2K9-00000-00&amp;idtype=PID&amp;context=1516831" TargetMode="External" /><Relationship Id="rId50" Type="http://schemas.openxmlformats.org/officeDocument/2006/relationships/hyperlink" Target="https://advance.lexis.com/api/document?collection=statutes-legislation&amp;id=urn:contentItem:8JD7-5212-D6RV-H2NG-00000-00&amp;context=1516831" TargetMode="External" /><Relationship Id="rId51" Type="http://schemas.openxmlformats.org/officeDocument/2006/relationships/hyperlink" Target="https://advance.lexis.com/api/document?collection=cases&amp;id=urn:contentItem:52G1-PWY1-652H-613G-00000-00&amp;context=1516831" TargetMode="External" /><Relationship Id="rId52" Type="http://schemas.openxmlformats.org/officeDocument/2006/relationships/hyperlink" Target="https://advance.lexis.com/api/document?collection=cases&amp;id=urn:contentItem:60JT-5241-DXPM-S2KB-00000-00&amp;context=1516831" TargetMode="External" /><Relationship Id="rId53" Type="http://schemas.openxmlformats.org/officeDocument/2006/relationships/hyperlink" Target="https://advance.lexis.com/api/document?collection=cases&amp;id=urn:contentItem:7YPY-8CX1-652J-D001-00000-00&amp;context=1516831" TargetMode="External" /><Relationship Id="rId54" Type="http://schemas.openxmlformats.org/officeDocument/2006/relationships/hyperlink" Target="https://advance.lexis.com/api/document?collection=cases&amp;id=urn:contentItem:623F-55R1-JC0G-649F-00000-00&amp;context=1516831" TargetMode="External" /><Relationship Id="rId55" Type="http://schemas.openxmlformats.org/officeDocument/2006/relationships/hyperlink" Target="https://advance.lexis.com/api/document?collection=cases&amp;id=urn:contentItem:630N-NJ21-JN6B-S07F-00000-00&amp;context=1516831" TargetMode="External" /><Relationship Id="rId56" Type="http://schemas.openxmlformats.org/officeDocument/2006/relationships/hyperlink" Target="https://advance.lexis.com/api/document?collection=administrative-codes&amp;id=urn:contentItem:5HSC-GRG0-006W-82M5-00000-00&amp;context=1516831" TargetMode="External" /><Relationship Id="rId57" Type="http://schemas.openxmlformats.org/officeDocument/2006/relationships/hyperlink" Target="https://advance.lexis.com/api/document?collection=statutes-legislation&amp;id=urn:contentItem:8SHT-0722-D6RV-H1FX-00000-00&amp;context=1516831" TargetMode="External" /><Relationship Id="rId58" Type="http://schemas.openxmlformats.org/officeDocument/2006/relationships/hyperlink" Target="https://advance.lexis.com/api/document?collection=cases&amp;id=urn:contentItem:7YJ9-0M11-2RHM-K05N-00000-00&amp;context=1516831" TargetMode="External" /><Relationship Id="rId59" Type="http://schemas.openxmlformats.org/officeDocument/2006/relationships/hyperlink" Target="https://advance.lexis.com/api/document?collection=statutes-legislation&amp;id=urn:contentItem:63TX-H2S1-DYB7-W03M-00000-00&amp;context=1516831" TargetMode="External" /><Relationship Id="rId6" Type="http://schemas.openxmlformats.org/officeDocument/2006/relationships/hyperlink" Target="https://advance.lexis.com/api/document?id=urn:contentItem:61T6-Y9T1-JGPY-X3FT-00000-00&amp;idtype=PID&amp;context=1516831" TargetMode="External" /><Relationship Id="rId60" Type="http://schemas.openxmlformats.org/officeDocument/2006/relationships/hyperlink" Target="https://advance.lexis.com/api/document?collection=cases&amp;id=urn:contentItem:57D2-XYF1-F04K-M0VH-00000-00&amp;context=1516831" TargetMode="External" /><Relationship Id="rId61" Type="http://schemas.openxmlformats.org/officeDocument/2006/relationships/hyperlink" Target="https://advance.lexis.com/api/document?collection=cases&amp;id=urn:contentItem:61WH-NW21-F4GK-M19H-00000-00&amp;context=1516831" TargetMode="External" /><Relationship Id="rId62" Type="http://schemas.openxmlformats.org/officeDocument/2006/relationships/hyperlink" Target="https://advance.lexis.com/api/document?collection=cases&amp;id=urn:contentItem:5T7V-2D21-JJYN-B02K-00000-00&amp;context=1516831" TargetMode="External" /><Relationship Id="rId63" Type="http://schemas.openxmlformats.org/officeDocument/2006/relationships/hyperlink" Target="https://advance.lexis.com/api/document?collection=cases&amp;id=urn:contentItem:3S4W-WTW0-003B-G38K-00000-00&amp;context=1516831" TargetMode="External" /><Relationship Id="rId64" Type="http://schemas.openxmlformats.org/officeDocument/2006/relationships/hyperlink" Target="https://advance.lexis.com/api/document?collection=cases&amp;id=urn:contentItem:3RRR-2YT0-0040-03B5-00000-00&amp;context=1516831" TargetMode="External" /><Relationship Id="rId65" Type="http://schemas.openxmlformats.org/officeDocument/2006/relationships/hyperlink" Target="https://advance.lexis.com/api/document?collection=cases&amp;id=urn:contentItem:3S3J-X000-003D-D2PP-00000-00&amp;context=1516831" TargetMode="External" /><Relationship Id="rId66" Type="http://schemas.openxmlformats.org/officeDocument/2006/relationships/hyperlink" Target="https://advance.lexis.com/api/document?collection=cases&amp;id=urn:contentItem:4GTW-5R50-0038-X1FN-00000-00&amp;context=1516831" TargetMode="External" /><Relationship Id="rId67" Type="http://schemas.openxmlformats.org/officeDocument/2006/relationships/hyperlink" Target="https://advance.lexis.com/api/document?collection=cases&amp;id=urn:contentItem:4G3V-X0B0-0038-X01M-00000-00&amp;context=1516831" TargetMode="External" /><Relationship Id="rId68" Type="http://schemas.openxmlformats.org/officeDocument/2006/relationships/hyperlink" Target="https://advance.lexis.com/api/document?collection=cases&amp;id=urn:contentItem:4BFX-SB30-0038-Y0RS-00000-00&amp;context=1516831" TargetMode="External" /><Relationship Id="rId69" Type="http://schemas.openxmlformats.org/officeDocument/2006/relationships/hyperlink" Target="mailto:stanley.brown@hoganlovells.com" TargetMode="External" /><Relationship Id="rId7" Type="http://schemas.openxmlformats.org/officeDocument/2006/relationships/hyperlink" Target="https://advance.lexis.com/api/document?id=urn:contentItem:63KR-03N1-JT99-20C4-00000-00&amp;idtype=PID&amp;context=1516831" TargetMode="External" /><Relationship Id="rId70" Type="http://schemas.openxmlformats.org/officeDocument/2006/relationships/hyperlink" Target="mailto:david.baron@hoganlovells.com" TargetMode="External" /><Relationship Id="rId71" Type="http://schemas.openxmlformats.org/officeDocument/2006/relationships/hyperlink" Target="mailto:matthew.ducharme@hoganlovells.com" TargetMode="External" /><Relationship Id="rId72" Type="http://schemas.openxmlformats.org/officeDocument/2006/relationships/hyperlink" Target="mailto:david.mitchell@hoganlovells.com" TargetMode="External" /><Relationship Id="rId73" Type="http://schemas.openxmlformats.org/officeDocument/2006/relationships/hyperlink" Target="mailto:zachary.siegel@hoganlovells.com" TargetMode="External" /><Relationship Id="rId74" Type="http://schemas.openxmlformats.org/officeDocument/2006/relationships/hyperlink" Target="mailto:jon.talotta@hoganlovells.com" TargetMode="External" /><Relationship Id="rId75" Type="http://schemas.openxmlformats.org/officeDocument/2006/relationships/hyperlink" Target="mailto:michael.burns@hoganlovells.com" TargetMode="External" /><Relationship Id="rId76" Type="http://schemas.openxmlformats.org/officeDocument/2006/relationships/hyperlink" Target="mailto:stevie.degroff@hoganlovells.com" TargetMode="External" /><Relationship Id="rId77" Type="http://schemas.openxmlformats.org/officeDocument/2006/relationships/hyperlink" Target="mailto:sarahb@laseva.org" TargetMode="External" /><Relationship Id="rId78" Type="http://schemas.openxmlformats.org/officeDocument/2006/relationships/hyperlink" Target="mailto:tsilverstein@lawyerscommittee.org" TargetMode="External" /><Relationship Id="rId79" Type="http://schemas.openxmlformats.org/officeDocument/2006/relationships/hyperlink" Target="mailto:ecaspar@lawyerscommittee.org" TargetMode="External" /><Relationship Id="rId8" Type="http://schemas.openxmlformats.org/officeDocument/2006/relationships/hyperlink" Target="https://advance.lexis.com/api/document?id=urn:contentItem:6440-RGD1-F1P7-B329-00000-00&amp;idtype=PID&amp;context=1516831"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eader" Target="header1.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BRYANT v. CITY OF NORFOLK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170625796</vt:lpwstr>
  </property>
  <property fmtid="{D5CDD505-2E9C-101B-9397-08002B2CF9AE}" pid="3" name="LADocCount">
    <vt:i4>5</vt:i4>
  </property>
  <property fmtid="{D5CDD505-2E9C-101B-9397-08002B2CF9AE}" pid="4" name="UserPermID">
    <vt:lpwstr>urn:user:PA184731112</vt:lpwstr>
  </property>
</Properties>
</file>