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365D"/>
          <w:sz w:val="52"/>
          <w:szCs w:val="52"/>
        </w:rPr>
        <w:t xml:space="preserve">ABF Security Architecture</w:t>
      </w:r>
    </w:p>
    <w:p>
      <w:pPr>
        <w:spacing w:after="80"/>
        <w:jc w:val="center"/>
      </w:pPr>
      <w:r>
        <w:rPr>
          <w:rFonts w:ascii="Arial" w:cs="Arial" w:eastAsia="Arial" w:hAnsi="Arial"/>
          <w:color w:val="2E75B6"/>
          <w:sz w:val="28"/>
          <w:szCs w:val="28"/>
        </w:rPr>
        <w:t xml:space="preserve">Agentic Business Framework</w:t>
      </w:r>
    </w:p>
    <w:p>
      <w:pPr>
        <w:spacing w:after="400"/>
        <w:jc w:val="center"/>
      </w:pPr>
      <w:r>
        <w:rPr>
          <w:rFonts w:ascii="Arial" w:cs="Arial" w:eastAsia="Arial" w:hAnsi="Arial"/>
          <w:color w:val="555555"/>
          <w:sz w:val="22"/>
          <w:szCs w:val="22"/>
        </w:rPr>
        <w:t xml:space="preserve">Security-First Design for Autonomous Agent Systems</w:t>
      </w:r>
    </w:p>
    <w:p>
      <w:pPr>
        <w:spacing w:after="100"/>
        <w:jc w:val="center"/>
      </w:pPr>
      <w:r>
        <w:rPr>
          <w:rFonts w:ascii="Arial" w:cs="Arial" w:eastAsia="Arial" w:hAnsi="Arial"/>
          <w:color w:val="888888"/>
          <w:sz w:val="20"/>
          <w:szCs w:val="20"/>
        </w:rPr>
        <w:t xml:space="preserve">v0.2.0 | February 2026</w:t>
      </w:r>
    </w:p>
    <w:p>
      <w:pPr>
        <w:spacing w:before="600"/>
        <w:jc w:val="center"/>
      </w:pPr>
      <w:r>
        <w:rPr>
          <w:rFonts w:ascii="Arial" w:cs="Arial" w:eastAsia="Arial" w:hAnsi="Arial"/>
          <w:color w:val="888888"/>
          <w:sz w:val="18"/>
          <w:szCs w:val="18"/>
        </w:rPr>
        <w:t xml:space="preserve">Informed by: Microsoft Defender Security Research (Feb 2026),</w:t>
      </w:r>
    </w:p>
    <w:p>
      <w:pPr>
        <w:jc w:val="center"/>
      </w:pPr>
      <w:r>
        <w:rPr>
          <w:rFonts w:ascii="Arial" w:cs="Arial" w:eastAsia="Arial" w:hAnsi="Arial"/>
          <w:color w:val="888888"/>
          <w:sz w:val="18"/>
          <w:szCs w:val="18"/>
        </w:rPr>
        <w:t xml:space="preserve">TrustClaw by Composio, and OWASP Agent Security Guidelines</w:t>
      </w:r>
    </w:p>
    <w:p>
      <w:r>
        <w:br w:type="page"/>
      </w:r>
    </w:p>
    <w:p>
      <w:pPr>
        <w:pStyle w:val="Heading1"/>
        <w:spacing w:after="200" w:before="400"/>
      </w:pPr>
      <w:r>
        <w:rPr>
          <w:rFonts w:ascii="Arial" w:cs="Arial" w:eastAsia="Arial" w:hAnsi="Arial"/>
          <w:b/>
          <w:bCs/>
          <w:color w:val="1B365D"/>
          <w:sz w:val="32"/>
          <w:szCs w:val="32"/>
        </w:rPr>
        <w:t xml:space="preserve">1. Threat Model</w:t>
      </w:r>
    </w:p>
    <w:p>
      <w:pPr>
        <w:spacing w:after="80" w:before="80"/>
      </w:pPr>
      <w:r>
        <w:rPr>
          <w:rFonts w:ascii="Arial" w:cs="Arial" w:eastAsia="Arial" w:hAnsi="Arial"/>
          <w:color w:val="2D2D2D"/>
          <w:sz w:val="21"/>
          <w:szCs w:val="21"/>
        </w:rPr>
        <w:t xml:space="preserve">ABF runs autonomous agents that read untrusted content, use tools with real credentials, and maintain persistent memory across sessions. This is fundamentally an untrusted code execution system with persistent credentials. ABF’s security model is designed around this reality.</w:t>
      </w:r>
    </w:p>
    <w:p>
      <w:pPr>
        <w:spacing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C2626" w:sz="1"/>
              <w:left w:val="single" w:color="DC2626" w:sz="8"/>
              <w:bottom w:val="single" w:color="DC2626" w:sz="1"/>
              <w:right w:val="single" w:color="DC2626" w:sz="1"/>
            </w:tcBorders>
            <w:shd w:fill="FEF2F2" w:val="clear"/>
            <w:tcMar>
              <w:top w:type="dxa" w:w="120"/>
              <w:left w:type="dxa" w:w="200"/>
              <w:bottom w:type="dxa" w:w="120"/>
              <w:right w:type="dxa" w:w="200"/>
            </w:tcMar>
          </w:tcPr>
          <w:p>
            <w:r>
              <w:rPr>
                <w:rFonts w:ascii="Arial" w:cs="Arial" w:eastAsia="Arial" w:hAnsi="Arial"/>
                <w:color w:val="2D2D2D"/>
                <w:sz w:val="20"/>
                <w:szCs w:val="20"/>
              </w:rPr>
              <w:t xml:space="preserve">⚠️ CORE ASSUMPTION: Any agent that reads external content (emails, web pages, social media, APIs) can receive adversarial input. Any agent with tool access can take harmful actions. Any agent with persistent memory can be poisoned over time. ABF’s security model assumes all three will happen and designs for containment and recovery.</w:t>
            </w:r>
          </w:p>
        </w:tc>
      </w:tr>
    </w:tbl>
    <w:p>
      <w:pPr>
        <w:pStyle w:val="Heading2"/>
        <w:spacing w:after="160" w:before="300"/>
      </w:pPr>
      <w:r>
        <w:rPr>
          <w:rFonts w:ascii="Arial" w:cs="Arial" w:eastAsia="Arial" w:hAnsi="Arial"/>
          <w:b/>
          <w:bCs/>
          <w:color w:val="2E75B6"/>
          <w:sz w:val="26"/>
          <w:szCs w:val="26"/>
        </w:rPr>
        <w:t xml:space="preserve">1.1 The Two Supply Chains</w:t>
      </w:r>
    </w:p>
    <w:p>
      <w:pPr>
        <w:spacing w:after="80" w:before="80"/>
      </w:pPr>
      <w:r>
        <w:rPr>
          <w:rFonts w:ascii="Arial" w:cs="Arial" w:eastAsia="Arial" w:hAnsi="Arial"/>
          <w:color w:val="2D2D2D"/>
          <w:sz w:val="21"/>
          <w:szCs w:val="21"/>
        </w:rPr>
        <w:t xml:space="preserve">Microsoft’s research on self-hosted agent runtimes identifies two converging supply chains that create compounding risk. ABF addresses both:</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500"/>
        <w:gridCol w:w="3260"/>
      </w:tblGrid>
      <w:tr>
        <w:trPr>
          <w:tblHeader/>
        </w:trP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Supply Chain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Threat</w:t>
            </w:r>
          </w:p>
        </w:tc>
        <w:tc>
          <w:tcPr>
            <w:tcW w:type="dxa" w:w="2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How It Manifests</w:t>
            </w:r>
          </w:p>
        </w:tc>
        <w:tc>
          <w:tcPr>
            <w:tcW w:type="dxa" w:w="32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ABF Control</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Untrusted Code (tools, skills, plugins)</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Malicious tool execution, credential theft, persistent backdoors</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An attacker publishes a malicious MCP server or custom tool. When installed, it exfiltrates credentials or modifies agent behavior.</w:t>
            </w:r>
          </w:p>
        </w:tc>
        <w:tc>
          <w:tcPr>
            <w:tcW w:type="dxa" w:w="32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Sandboxed execution, tool allow-listing, managed tool registry, code review pipeline</w:t>
            </w:r>
          </w:p>
        </w:tc>
      </w:tr>
      <w:tr>
        <w:tc>
          <w:tcPr>
            <w:tcW w:type="dxa" w:w="18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Untrusted Instructions (external content)</w:t>
            </w:r>
          </w:p>
        </w:tc>
        <w:tc>
          <w:tcPr>
            <w:tcW w:type="dxa" w:w="18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Indirect prompt injection, memory poisoning, behavioral manipulation</w:t>
            </w:r>
          </w:p>
        </w:tc>
        <w:tc>
          <w:tcPr>
            <w:tcW w:type="dxa" w:w="25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An attacker embeds instructions in a web page, email, or social post. When an agent reads it, the injected instructions steer tool use or modify agent memory.</w:t>
            </w:r>
          </w:p>
        </w:tc>
        <w:tc>
          <w:tcPr>
            <w:tcW w:type="dxa" w:w="32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Input sanitization layer, memory integrity checks, output validation, behavioral bounds</w:t>
            </w:r>
          </w:p>
        </w:tc>
      </w:tr>
    </w:tbl>
    <w:p>
      <w:pPr>
        <w:spacing w:before="150"/>
      </w:pPr>
    </w:p>
    <w:p>
      <w:pPr>
        <w:spacing w:after="80" w:before="80"/>
      </w:pPr>
      <w:r>
        <w:rPr>
          <w:rFonts w:ascii="Arial" w:cs="Arial" w:eastAsia="Arial" w:hAnsi="Arial"/>
          <w:color w:val="2D2D2D"/>
          <w:sz w:val="21"/>
          <w:szCs w:val="21"/>
        </w:rPr>
        <w:t xml:space="preserve">When these two supply chains converge in a single execution loop — an agent reads attacker-controlled content AND has access to tools with real credentials — the result is what Microsoft calls “durable, credentialed execution” under attacker influence. ABF’s entire security model is designed to prevent this convergence or limit its blast radius.</w:t>
      </w:r>
    </w:p>
    <w:p>
      <w:pPr>
        <w:pStyle w:val="Heading2"/>
        <w:spacing w:after="160" w:before="300"/>
      </w:pPr>
      <w:r>
        <w:rPr>
          <w:rFonts w:ascii="Arial" w:cs="Arial" w:eastAsia="Arial" w:hAnsi="Arial"/>
          <w:b/>
          <w:bCs/>
          <w:color w:val="2E75B6"/>
          <w:sz w:val="26"/>
          <w:szCs w:val="26"/>
        </w:rPr>
        <w:t xml:space="preserve">1.2 The Three Security Boundaries</w:t>
      </w:r>
    </w:p>
    <w:p>
      <w:pPr>
        <w:spacing w:after="80" w:before="80"/>
      </w:pPr>
      <w:r>
        <w:rPr>
          <w:rFonts w:ascii="Arial" w:cs="Arial" w:eastAsia="Arial" w:hAnsi="Arial"/>
          <w:color w:val="2D2D2D"/>
          <w:sz w:val="21"/>
          <w:szCs w:val="21"/>
        </w:rPr>
        <w:t xml:space="preserve">Every ABF agent operates within three security boundaries. A compromise in any one must not cascade to the others:</w:t>
      </w:r>
    </w:p>
    <w:p>
      <w:pPr>
        <w:spacing w:before="100"/>
      </w:pPr>
    </w:p>
    <w:p>
      <w:pPr>
        <w:pStyle w:val="ListParagraph"/>
        <w:numPr>
          <w:ilvl w:val="0"/>
          <w:numId w:val="2"/>
        </w:numPr>
        <w:spacing w:after="50" w:before="50"/>
      </w:pPr>
      <w:r>
        <w:rPr>
          <w:rFonts w:ascii="Arial" w:cs="Arial" w:eastAsia="Arial" w:hAnsi="Arial"/>
          <w:b/>
          <w:bCs/>
          <w:color w:val="2D2D2D"/>
          <w:sz w:val="21"/>
          <w:szCs w:val="21"/>
        </w:rPr>
        <w:t xml:space="preserve">Identity: </w:t>
      </w:r>
      <w:r>
        <w:rPr>
          <w:rFonts w:ascii="Arial" w:cs="Arial" w:eastAsia="Arial" w:hAnsi="Arial"/>
          <w:color w:val="2D2D2D"/>
          <w:sz w:val="21"/>
          <w:szCs w:val="21"/>
        </w:rPr>
        <w:t xml:space="preserve">The credentials and permissions an agent uses to interact with external services. An agent should only have access to the minimum set of permissions required for its role. Compromising one agent’s identity must not grant access to other agents’ credentials.</w:t>
      </w:r>
    </w:p>
    <w:p>
      <w:pPr>
        <w:pStyle w:val="ListParagraph"/>
        <w:numPr>
          <w:ilvl w:val="0"/>
          <w:numId w:val="2"/>
        </w:numPr>
        <w:spacing w:after="50" w:before="50"/>
      </w:pPr>
      <w:r>
        <w:rPr>
          <w:rFonts w:ascii="Arial" w:cs="Arial" w:eastAsia="Arial" w:hAnsi="Arial"/>
          <w:b/>
          <w:bCs/>
          <w:color w:val="2D2D2D"/>
          <w:sz w:val="21"/>
          <w:szCs w:val="21"/>
        </w:rPr>
        <w:t xml:space="preserve">Execution: </w:t>
      </w:r>
      <w:r>
        <w:rPr>
          <w:rFonts w:ascii="Arial" w:cs="Arial" w:eastAsia="Arial" w:hAnsi="Arial"/>
          <w:color w:val="2D2D2D"/>
          <w:sz w:val="21"/>
          <w:szCs w:val="21"/>
        </w:rPr>
        <w:t xml:space="preserve">The tools an agent can invoke and the state changes they can make. Tool execution must be sandboxed, scoped, and auditable. An agent should never be able to install new tools, modify its own definition, or escalate its own permissions.</w:t>
      </w:r>
    </w:p>
    <w:p>
      <w:pPr>
        <w:pStyle w:val="ListParagraph"/>
        <w:numPr>
          <w:ilvl w:val="0"/>
          <w:numId w:val="2"/>
        </w:numPr>
        <w:spacing w:after="50" w:before="50"/>
      </w:pPr>
      <w:r>
        <w:rPr>
          <w:rFonts w:ascii="Arial" w:cs="Arial" w:eastAsia="Arial" w:hAnsi="Arial"/>
          <w:b/>
          <w:bCs/>
          <w:color w:val="2D2D2D"/>
          <w:sz w:val="21"/>
          <w:szCs w:val="21"/>
        </w:rPr>
        <w:t xml:space="preserve">Persistence: </w:t>
      </w:r>
      <w:r>
        <w:rPr>
          <w:rFonts w:ascii="Arial" w:cs="Arial" w:eastAsia="Arial" w:hAnsi="Arial"/>
          <w:color w:val="2D2D2D"/>
          <w:sz w:val="21"/>
          <w:szCs w:val="21"/>
        </w:rPr>
        <w:t xml:space="preserve">The memory, configuration, and scheduled actions that survive across agent sessions. An attacker who poisons an agent’s memory gains influence over all future sessions. Memory writes must be validated and anomalous changes must be detected.</w:t>
      </w:r>
    </w:p>
    <w:p>
      <w:r>
        <w:br w:type="page"/>
      </w:r>
    </w:p>
    <w:p>
      <w:pPr>
        <w:pStyle w:val="Heading1"/>
        <w:spacing w:after="200" w:before="400"/>
      </w:pPr>
      <w:r>
        <w:rPr>
          <w:rFonts w:ascii="Arial" w:cs="Arial" w:eastAsia="Arial" w:hAnsi="Arial"/>
          <w:b/>
          <w:bCs/>
          <w:color w:val="1B365D"/>
          <w:sz w:val="32"/>
          <w:szCs w:val="32"/>
        </w:rPr>
        <w:t xml:space="preserve">2. Security Principles</w:t>
      </w:r>
    </w:p>
    <w:p>
      <w:pPr>
        <w:spacing w:after="80" w:before="80"/>
      </w:pPr>
      <w:r>
        <w:rPr>
          <w:rFonts w:ascii="Arial" w:cs="Arial" w:eastAsia="Arial" w:hAnsi="Arial"/>
          <w:color w:val="2D2D2D"/>
          <w:sz w:val="21"/>
          <w:szCs w:val="21"/>
        </w:rPr>
        <w:t xml:space="preserve">ABF’s security architecture follows six principles. These are not optional hardening steps — they are foundational to how ABF works.</w:t>
      </w:r>
    </w:p>
    <w:p>
      <w:pPr>
        <w:pStyle w:val="Heading2"/>
        <w:spacing w:after="160" w:before="300"/>
      </w:pPr>
      <w:r>
        <w:rPr>
          <w:rFonts w:ascii="Arial" w:cs="Arial" w:eastAsia="Arial" w:hAnsi="Arial"/>
          <w:b/>
          <w:bCs/>
          <w:color w:val="2E75B6"/>
          <w:sz w:val="26"/>
          <w:szCs w:val="26"/>
        </w:rPr>
        <w:t xml:space="preserve">2.1 Least Privilege by Default</w:t>
      </w:r>
    </w:p>
    <w:p>
      <w:pPr>
        <w:spacing w:after="80" w:before="80"/>
      </w:pPr>
      <w:r>
        <w:rPr>
          <w:rFonts w:ascii="Arial" w:cs="Arial" w:eastAsia="Arial" w:hAnsi="Arial"/>
          <w:color w:val="2D2D2D"/>
          <w:sz w:val="21"/>
          <w:szCs w:val="21"/>
        </w:rPr>
        <w:t xml:space="preserve">Every agent starts with zero permissions. Tools, integrations, and data access are explicitly granted per-agent. An agent can only use the tools listed in its definition, access the integrations assigned to it, and read the memory layers it’s authorized for.</w:t>
      </w:r>
    </w:p>
    <w:p>
      <w:pPr>
        <w:spacing w:after="80" w:before="80"/>
      </w:pPr>
      <w:r>
        <w:rPr>
          <w:rFonts w:ascii="Arial" w:cs="Arial" w:eastAsia="Arial" w:hAnsi="Arial"/>
          <w:color w:val="2D2D2D"/>
          <w:sz w:val="21"/>
          <w:szCs w:val="21"/>
        </w:rPr>
        <w:t xml:space="preserve">The Dashboard enforces this visually: when an operator creates or modifies an agent, they see exactly what that agent can access. Adding a new integration requires explicit approval. There is no mechanism for an agent to grant itself additional permissions at runtime.</w:t>
      </w:r>
    </w:p>
    <w:p>
      <w:pPr>
        <w:pStyle w:val="Heading2"/>
        <w:spacing w:after="160" w:before="300"/>
      </w:pPr>
      <w:r>
        <w:rPr>
          <w:rFonts w:ascii="Arial" w:cs="Arial" w:eastAsia="Arial" w:hAnsi="Arial"/>
          <w:b/>
          <w:bCs/>
          <w:color w:val="2E75B6"/>
          <w:sz w:val="26"/>
          <w:szCs w:val="26"/>
        </w:rPr>
        <w:t xml:space="preserve">2.2 OAuth-Only for External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6A34A" w:sz="1"/>
              <w:left w:val="single" w:color="16A34A" w:sz="8"/>
              <w:bottom w:val="single" w:color="16A34A" w:sz="1"/>
              <w:right w:val="single" w:color="16A34A" w:sz="1"/>
            </w:tcBorders>
            <w:shd w:fill="F0FDF4" w:val="clear"/>
            <w:tcMar>
              <w:top w:type="dxa" w:w="120"/>
              <w:left w:type="dxa" w:w="200"/>
              <w:bottom w:type="dxa" w:w="120"/>
              <w:right w:type="dxa" w:w="200"/>
            </w:tcMar>
          </w:tcPr>
          <w:p>
            <w:r>
              <w:rPr>
                <w:rFonts w:ascii="Arial" w:cs="Arial" w:eastAsia="Arial" w:hAnsi="Arial"/>
                <w:color w:val="2D2D2D"/>
                <w:sz w:val="20"/>
                <w:szCs w:val="20"/>
              </w:rPr>
              <w:t xml:space="preserve">✅ ABF NEVER stores raw credentials for external services. All integrations use OAuth with scoped, short-lived tokens.</w:t>
            </w:r>
          </w:p>
        </w:tc>
      </w:tr>
    </w:tbl>
    <w:p>
      <w:pPr>
        <w:spacing w:before="150"/>
      </w:pPr>
    </w:p>
    <w:p>
      <w:pPr>
        <w:spacing w:after="80" w:before="80"/>
      </w:pPr>
      <w:r>
        <w:rPr>
          <w:rFonts w:ascii="Arial" w:cs="Arial" w:eastAsia="Arial" w:hAnsi="Arial"/>
          <w:color w:val="2D2D2D"/>
          <w:sz w:val="21"/>
          <w:szCs w:val="21"/>
        </w:rPr>
        <w:t xml:space="preserve">Inspired by TrustClaw’s security model: agents connect to external services (Gmail, Slack, GitHub, Stripe, etc.) exclusively through OAuth. The operator authenticates via OAuth in the Dashboard. ABF stores encrypted, scoped, short-lived tokens — never passwords or API keys. Agents never see raw credentials.</w:t>
      </w:r>
    </w:p>
    <w:p>
      <w:pPr>
        <w:spacing w:after="80" w:before="80"/>
      </w:pPr>
      <w:r>
        <w:rPr>
          <w:rFonts w:ascii="Arial" w:cs="Arial" w:eastAsia="Arial" w:hAnsi="Arial"/>
          <w:color w:val="2D2D2D"/>
          <w:sz w:val="21"/>
          <w:szCs w:val="21"/>
        </w:rPr>
        <w:t xml:space="preserve">This means:</w:t>
      </w:r>
    </w:p>
    <w:p>
      <w:pPr>
        <w:pStyle w:val="ListParagraph"/>
        <w:numPr>
          <w:ilvl w:val="0"/>
          <w:numId w:val="2"/>
        </w:numPr>
        <w:spacing w:after="50" w:before="50"/>
      </w:pPr>
      <w:r>
        <w:rPr>
          <w:rFonts w:ascii="Arial" w:cs="Arial" w:eastAsia="Arial" w:hAnsi="Arial"/>
          <w:color w:val="2D2D2D"/>
          <w:sz w:val="21"/>
          <w:szCs w:val="21"/>
        </w:rPr>
        <w:t xml:space="preserve">If an agent is compromised, the attacker gets a scoped token, not a master password.</w:t>
      </w:r>
    </w:p>
    <w:p>
      <w:pPr>
        <w:pStyle w:val="ListParagraph"/>
        <w:numPr>
          <w:ilvl w:val="0"/>
          <w:numId w:val="2"/>
        </w:numPr>
        <w:spacing w:after="50" w:before="50"/>
      </w:pPr>
      <w:r>
        <w:rPr>
          <w:rFonts w:ascii="Arial" w:cs="Arial" w:eastAsia="Arial" w:hAnsi="Arial"/>
          <w:color w:val="2D2D2D"/>
          <w:sz w:val="21"/>
          <w:szCs w:val="21"/>
        </w:rPr>
        <w:t xml:space="preserve">Tokens can be revoked with one click from the Dashboard (or automatically on anomaly detection).</w:t>
      </w:r>
    </w:p>
    <w:p>
      <w:pPr>
        <w:pStyle w:val="ListParagraph"/>
        <w:numPr>
          <w:ilvl w:val="0"/>
          <w:numId w:val="2"/>
        </w:numPr>
        <w:spacing w:after="50" w:before="50"/>
      </w:pPr>
      <w:r>
        <w:rPr>
          <w:rFonts w:ascii="Arial" w:cs="Arial" w:eastAsia="Arial" w:hAnsi="Arial"/>
          <w:color w:val="2D2D2D"/>
          <w:sz w:val="21"/>
          <w:szCs w:val="21"/>
        </w:rPr>
        <w:t xml:space="preserve">Token scope is visible in the Dashboard: the operator can see exactly what each integration can do.</w:t>
      </w:r>
    </w:p>
    <w:p>
      <w:pPr>
        <w:pStyle w:val="ListParagraph"/>
        <w:numPr>
          <w:ilvl w:val="0"/>
          <w:numId w:val="2"/>
        </w:numPr>
        <w:spacing w:after="50" w:before="50"/>
      </w:pPr>
      <w:r>
        <w:rPr>
          <w:rFonts w:ascii="Arial" w:cs="Arial" w:eastAsia="Arial" w:hAnsi="Arial"/>
          <w:color w:val="2D2D2D"/>
          <w:sz w:val="21"/>
          <w:szCs w:val="21"/>
        </w:rPr>
        <w:t xml:space="preserve">Token rotation happens automatically. ABF refreshes OAuth tokens on schedule without operator intervention.</w:t>
      </w:r>
    </w:p>
    <w:p>
      <w:pPr>
        <w:spacing w:after="80" w:before="80"/>
      </w:pPr>
      <w:r>
        <w:rPr>
          <w:rFonts w:ascii="Arial" w:cs="Arial" w:eastAsia="Arial" w:hAnsi="Arial"/>
          <w:color w:val="2D2D2D"/>
          <w:sz w:val="21"/>
          <w:szCs w:val="21"/>
        </w:rPr>
        <w:t xml:space="preserve">For services that don’t support OAuth (legacy APIs, custom tools), ABF stores API keys encrypted (AES-256-GCM, key derived from instance secret, at-rest encryption). These keys are injected into the agent’s tool execution environment at runtime and never persisted in agent memory, logs, or message bus payloads.</w:t>
      </w:r>
    </w:p>
    <w:p>
      <w:pPr>
        <w:pStyle w:val="Heading2"/>
        <w:spacing w:after="160" w:before="300"/>
      </w:pPr>
      <w:r>
        <w:rPr>
          <w:rFonts w:ascii="Arial" w:cs="Arial" w:eastAsia="Arial" w:hAnsi="Arial"/>
          <w:b/>
          <w:bCs/>
          <w:color w:val="2E75B6"/>
          <w:sz w:val="26"/>
          <w:szCs w:val="26"/>
        </w:rPr>
        <w:t xml:space="preserve">2.3 Sandboxed Execution</w:t>
      </w:r>
    </w:p>
    <w:p>
      <w:pPr>
        <w:spacing w:after="80" w:before="80"/>
      </w:pPr>
      <w:r>
        <w:rPr>
          <w:rFonts w:ascii="Arial" w:cs="Arial" w:eastAsia="Arial" w:hAnsi="Arial"/>
          <w:color w:val="2D2D2D"/>
          <w:sz w:val="21"/>
          <w:szCs w:val="21"/>
        </w:rPr>
        <w:t xml:space="preserve">Every tool invocation runs in an isolated execution environment. When an agent calls a tool, ABF:</w:t>
      </w:r>
    </w:p>
    <w:p>
      <w:pPr>
        <w:pStyle w:val="ListParagraph"/>
        <w:numPr>
          <w:ilvl w:val="0"/>
          <w:numId w:val="3"/>
        </w:numPr>
        <w:spacing w:after="50" w:before="50"/>
      </w:pPr>
      <w:r>
        <w:rPr>
          <w:rFonts w:ascii="Arial" w:cs="Arial" w:eastAsia="Arial" w:hAnsi="Arial"/>
          <w:color w:val="2D2D2D"/>
          <w:sz w:val="21"/>
          <w:szCs w:val="21"/>
        </w:rPr>
        <w:t xml:space="preserve">Creates an ephemeral sandbox (container, subprocess, or V8 isolate depending on deployment mode)</w:t>
      </w:r>
    </w:p>
    <w:p>
      <w:pPr>
        <w:pStyle w:val="ListParagraph"/>
        <w:numPr>
          <w:ilvl w:val="0"/>
          <w:numId w:val="3"/>
        </w:numPr>
        <w:spacing w:after="50" w:before="50"/>
      </w:pPr>
      <w:r>
        <w:rPr>
          <w:rFonts w:ascii="Arial" w:cs="Arial" w:eastAsia="Arial" w:hAnsi="Arial"/>
          <w:color w:val="2D2D2D"/>
          <w:sz w:val="21"/>
          <w:szCs w:val="21"/>
        </w:rPr>
        <w:t xml:space="preserve">Injects only the credentials and data that specific tool invocation requires</w:t>
      </w:r>
    </w:p>
    <w:p>
      <w:pPr>
        <w:pStyle w:val="ListParagraph"/>
        <w:numPr>
          <w:ilvl w:val="0"/>
          <w:numId w:val="3"/>
        </w:numPr>
        <w:spacing w:after="50" w:before="50"/>
      </w:pPr>
      <w:r>
        <w:rPr>
          <w:rFonts w:ascii="Arial" w:cs="Arial" w:eastAsia="Arial" w:hAnsi="Arial"/>
          <w:color w:val="2D2D2D"/>
          <w:sz w:val="21"/>
          <w:szCs w:val="21"/>
        </w:rPr>
        <w:t xml:space="preserve">Executes the tool call with resource limits (CPU, memory, network, time)</w:t>
      </w:r>
    </w:p>
    <w:p>
      <w:pPr>
        <w:pStyle w:val="ListParagraph"/>
        <w:numPr>
          <w:ilvl w:val="0"/>
          <w:numId w:val="3"/>
        </w:numPr>
        <w:spacing w:after="50" w:before="50"/>
      </w:pPr>
      <w:r>
        <w:rPr>
          <w:rFonts w:ascii="Arial" w:cs="Arial" w:eastAsia="Arial" w:hAnsi="Arial"/>
          <w:color w:val="2D2D2D"/>
          <w:sz w:val="21"/>
          <w:szCs w:val="21"/>
        </w:rPr>
        <w:t xml:space="preserve">Captures the output and audit log</w:t>
      </w:r>
    </w:p>
    <w:p>
      <w:pPr>
        <w:pStyle w:val="ListParagraph"/>
        <w:numPr>
          <w:ilvl w:val="0"/>
          <w:numId w:val="3"/>
        </w:numPr>
        <w:spacing w:after="50" w:before="50"/>
      </w:pPr>
      <w:r>
        <w:rPr>
          <w:rFonts w:ascii="Arial" w:cs="Arial" w:eastAsia="Arial" w:hAnsi="Arial"/>
          <w:color w:val="2D2D2D"/>
          <w:sz w:val="21"/>
          <w:szCs w:val="21"/>
        </w:rPr>
        <w:t xml:space="preserve">Destroys the sandbox — no state persists between tool invocations</w:t>
      </w:r>
    </w:p>
    <w:p>
      <w:pPr>
        <w:spacing w:before="100"/>
      </w:pPr>
    </w:p>
    <w:p>
      <w:pPr>
        <w:spacing w:after="80" w:before="80"/>
      </w:pPr>
      <w:r>
        <w:rPr>
          <w:rFonts w:ascii="Arial" w:cs="Arial" w:eastAsia="Arial" w:hAnsi="Arial"/>
          <w:color w:val="2D2D2D"/>
          <w:sz w:val="21"/>
          <w:szCs w:val="21"/>
        </w:rPr>
        <w:t xml:space="preserve">Sandbox implementations by deployment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Deployment</w:t>
            </w:r>
          </w:p>
        </w:tc>
        <w:tc>
          <w:tcPr>
            <w:tcW w:type="dxa" w:w="2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Sandbox Type</w:t>
            </w:r>
          </w:p>
        </w:tc>
        <w:tc>
          <w:tcPr>
            <w:tcW w:type="dxa" w:w="2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Isolation Level</w:t>
            </w:r>
          </w:p>
        </w:tc>
        <w:tc>
          <w:tcPr>
            <w:tcW w:type="dxa" w:w="25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Performance</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ABF Cloud (managed)</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Firecracker microVMs</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Hardware-level isolation, ephemeral</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Cold start &lt;125ms</w:t>
            </w:r>
          </w:p>
        </w:tc>
      </w:tr>
      <w:tr>
        <w:tc>
          <w:tcPr>
            <w:tcW w:type="dxa" w:w="2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Docker (self-hosted)</w:t>
            </w:r>
          </w:p>
        </w:tc>
        <w:tc>
          <w:tcPr>
            <w:tcW w:type="dxa" w:w="2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Container-per-invocation</w:t>
            </w:r>
          </w:p>
        </w:tc>
        <w:tc>
          <w:tcPr>
            <w:tcW w:type="dxa" w:w="26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Container isolation, destroyed after</w:t>
            </w:r>
          </w:p>
        </w:tc>
        <w:tc>
          <w:tcPr>
            <w:tcW w:type="dxa" w:w="25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Cold start &lt;500ms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Local dev</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V8 isolates (isolated-vm)</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Process-level isolation</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Instantaneous</w:t>
            </w:r>
          </w:p>
        </w:tc>
      </w:tr>
      <w:tr>
        <w:tc>
          <w:tcPr>
            <w:tcW w:type="dxa" w:w="2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Local + Ollama</w:t>
            </w:r>
          </w:p>
        </w:tc>
        <w:tc>
          <w:tcPr>
            <w:tcW w:type="dxa" w:w="2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V8 isolates + local model</w:t>
            </w:r>
          </w:p>
        </w:tc>
        <w:tc>
          <w:tcPr>
            <w:tcW w:type="dxa" w:w="26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Process-level, fully air-gapped</w:t>
            </w:r>
          </w:p>
        </w:tc>
        <w:tc>
          <w:tcPr>
            <w:tcW w:type="dxa" w:w="25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Instantaneous</w:t>
            </w:r>
          </w:p>
        </w:tc>
      </w:tr>
    </w:tbl>
    <w:p>
      <w:pPr>
        <w:spacing w:before="150"/>
      </w:pPr>
    </w:p>
    <w:p>
      <w:pPr>
        <w:spacing w:after="80" w:before="80"/>
      </w:pPr>
      <w:r>
        <w:rPr>
          <w:rFonts w:ascii="Arial" w:cs="Arial" w:eastAsia="Arial" w:hAnsi="Arial"/>
          <w:color w:val="2D2D2D"/>
          <w:sz w:val="21"/>
          <w:szCs w:val="21"/>
        </w:rPr>
        <w:t xml:space="preserve">Critical design decision: agents CANNOT execute arbitrary code. They can only invoke tools that are pre-registered in ABF. There is no shell access, no eval(), no dynamic code execution. A tool is a defined function with a schema, input validation, output validation, and an audit log. This eliminates the “agent spawning unexpected shells” attack vector identified in Microsoft’s research.</w:t>
      </w:r>
    </w:p>
    <w:p>
      <w:pPr>
        <w:pStyle w:val="Heading2"/>
        <w:spacing w:after="160" w:before="300"/>
      </w:pPr>
      <w:r>
        <w:rPr>
          <w:rFonts w:ascii="Arial" w:cs="Arial" w:eastAsia="Arial" w:hAnsi="Arial"/>
          <w:b/>
          <w:bCs/>
          <w:color w:val="2E75B6"/>
          <w:sz w:val="26"/>
          <w:szCs w:val="26"/>
        </w:rPr>
        <w:t xml:space="preserve">2.4 Managed Tool Surface</w:t>
      </w:r>
    </w:p>
    <w:p>
      <w:pPr>
        <w:spacing w:after="80" w:before="80"/>
      </w:pPr>
      <w:r>
        <w:rPr>
          <w:rFonts w:ascii="Arial" w:cs="Arial" w:eastAsia="Arial" w:hAnsi="Arial"/>
          <w:color w:val="2D2D2D"/>
          <w:sz w:val="21"/>
          <w:szCs w:val="21"/>
        </w:rPr>
        <w:t xml:space="preserve">ABF does not allow agents to discover and install tools from the internet. This directly addresses the “poisoned skill” attack chain Microsoft documented:</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C2626" w:sz="1"/>
              <w:left w:val="single" w:color="DC2626" w:sz="8"/>
              <w:bottom w:val="single" w:color="DC2626" w:sz="1"/>
              <w:right w:val="single" w:color="DC2626" w:sz="1"/>
            </w:tcBorders>
            <w:shd w:fill="FEF2F2" w:val="clear"/>
            <w:tcMar>
              <w:top w:type="dxa" w:w="120"/>
              <w:left w:type="dxa" w:w="200"/>
              <w:bottom w:type="dxa" w:w="120"/>
              <w:right w:type="dxa" w:w="200"/>
            </w:tcMar>
          </w:tcPr>
          <w:p>
            <w:r>
              <w:rPr>
                <w:rFonts w:ascii="Arial" w:cs="Arial" w:eastAsia="Arial" w:hAnsi="Arial"/>
                <w:color w:val="2D2D2D"/>
                <w:sz w:val="20"/>
                <w:szCs w:val="20"/>
              </w:rPr>
              <w:t xml:space="preserve">⚠️ THE PROBLEM: Open agent ecosystems (like ClawHub) allow agents to install tools from unvetted public registries. Malicious tools were found within weeks. This is equivalent to running untrusted code with your credentials.</w:t>
            </w:r>
          </w:p>
        </w:tc>
      </w:tr>
    </w:tbl>
    <w:p>
      <w:pPr>
        <w:spacing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6A34A" w:sz="1"/>
              <w:left w:val="single" w:color="16A34A" w:sz="8"/>
              <w:bottom w:val="single" w:color="16A34A" w:sz="1"/>
              <w:right w:val="single" w:color="16A34A" w:sz="1"/>
            </w:tcBorders>
            <w:shd w:fill="F0FDF4" w:val="clear"/>
            <w:tcMar>
              <w:top w:type="dxa" w:w="120"/>
              <w:left w:type="dxa" w:w="200"/>
              <w:bottom w:type="dxa" w:w="120"/>
              <w:right w:type="dxa" w:w="200"/>
            </w:tcMar>
          </w:tcPr>
          <w:p>
            <w:r>
              <w:rPr>
                <w:rFonts w:ascii="Arial" w:cs="Arial" w:eastAsia="Arial" w:hAnsi="Arial"/>
                <w:color w:val="2D2D2D"/>
                <w:sz w:val="20"/>
                <w:szCs w:val="20"/>
              </w:rPr>
              <w:t xml:space="preserve">✅ ABF’s APPROACH: Tools are explicitly defined in the project configuration. Only the human operator (or a builder with deploy access) can add, modify, or remove tools. Agents cannot install tools at runtime. The tool surface is locked at deploy time.</w:t>
            </w:r>
          </w:p>
        </w:tc>
      </w:tr>
    </w:tbl>
    <w:p>
      <w:pPr>
        <w:spacing w:before="150"/>
      </w:pPr>
    </w:p>
    <w:p>
      <w:pPr>
        <w:spacing w:after="80" w:before="80"/>
      </w:pPr>
      <w:r>
        <w:rPr>
          <w:rFonts w:ascii="Arial" w:cs="Arial" w:eastAsia="Arial" w:hAnsi="Arial"/>
          <w:color w:val="2D2D2D"/>
          <w:sz w:val="21"/>
          <w:szCs w:val="21"/>
        </w:rPr>
        <w:t xml:space="preserve">ABF provides three tool sources, all under operator control:</w:t>
      </w:r>
    </w:p>
    <w:p>
      <w:pPr>
        <w:pStyle w:val="ListParagraph"/>
        <w:numPr>
          <w:ilvl w:val="0"/>
          <w:numId w:val="2"/>
        </w:numPr>
        <w:spacing w:after="50" w:before="50"/>
      </w:pPr>
      <w:r>
        <w:rPr>
          <w:rFonts w:ascii="Arial" w:cs="Arial" w:eastAsia="Arial" w:hAnsi="Arial"/>
          <w:b/>
          <w:bCs/>
          <w:color w:val="2D2D2D"/>
          <w:sz w:val="21"/>
          <w:szCs w:val="21"/>
        </w:rPr>
        <w:t xml:space="preserve">ABF Registry (curated): </w:t>
      </w:r>
      <w:r>
        <w:rPr>
          <w:rFonts w:ascii="Arial" w:cs="Arial" w:eastAsia="Arial" w:hAnsi="Arial"/>
          <w:color w:val="2D2D2D"/>
          <w:sz w:val="21"/>
          <w:szCs w:val="21"/>
        </w:rPr>
        <w:t xml:space="preserve">A managed registry of verified tools maintained by the ABF project. Tools are reviewed, signed, and version-pinned. Operators browse and install from the Dashboard. Similar to TrustClaw’s managed tool surface built on Composio.</w:t>
      </w:r>
    </w:p>
    <w:p>
      <w:pPr>
        <w:pStyle w:val="ListParagraph"/>
        <w:numPr>
          <w:ilvl w:val="0"/>
          <w:numId w:val="2"/>
        </w:numPr>
        <w:spacing w:after="50" w:before="50"/>
      </w:pPr>
      <w:r>
        <w:rPr>
          <w:rFonts w:ascii="Arial" w:cs="Arial" w:eastAsia="Arial" w:hAnsi="Arial"/>
          <w:b/>
          <w:bCs/>
          <w:color w:val="2D2D2D"/>
          <w:sz w:val="21"/>
          <w:szCs w:val="21"/>
        </w:rPr>
        <w:t xml:space="preserve">MCP Servers (open standard): </w:t>
      </w:r>
      <w:r>
        <w:rPr>
          <w:rFonts w:ascii="Arial" w:cs="Arial" w:eastAsia="Arial" w:hAnsi="Arial"/>
          <w:color w:val="2D2D2D"/>
          <w:sz w:val="21"/>
          <w:szCs w:val="21"/>
        </w:rPr>
        <w:t xml:space="preserve">Operators can connect any MCP-compatible server. ABF validates the MCP server’s schema and shows the operator exactly what capabilities it exposes before activation.</w:t>
      </w:r>
    </w:p>
    <w:p>
      <w:pPr>
        <w:pStyle w:val="ListParagraph"/>
        <w:numPr>
          <w:ilvl w:val="0"/>
          <w:numId w:val="2"/>
        </w:numPr>
        <w:spacing w:after="50" w:before="50"/>
      </w:pPr>
      <w:r>
        <w:rPr>
          <w:rFonts w:ascii="Arial" w:cs="Arial" w:eastAsia="Arial" w:hAnsi="Arial"/>
          <w:b/>
          <w:bCs/>
          <w:color w:val="2D2D2D"/>
          <w:sz w:val="21"/>
          <w:szCs w:val="21"/>
        </w:rPr>
        <w:t xml:space="preserve">Custom Tools (builder-created): </w:t>
      </w:r>
      <w:r>
        <w:rPr>
          <w:rFonts w:ascii="Arial" w:cs="Arial" w:eastAsia="Arial" w:hAnsi="Arial"/>
          <w:color w:val="2D2D2D"/>
          <w:sz w:val="21"/>
          <w:szCs w:val="21"/>
        </w:rPr>
        <w:t xml:space="preserve">Builders write tool functions in TypeScript. These go through the project’s code review and deploy pipeline. ABF validates the tool schema at startup and rejects malformed definitions.</w:t>
      </w:r>
    </w:p>
    <w:p>
      <w:pPr>
        <w:spacing w:after="80" w:before="80"/>
      </w:pPr>
      <w:r>
        <w:rPr>
          <w:rFonts w:ascii="Arial" w:cs="Arial" w:eastAsia="Arial" w:hAnsi="Arial"/>
          <w:color w:val="2D2D2D"/>
          <w:sz w:val="21"/>
          <w:szCs w:val="21"/>
        </w:rPr>
        <w:t xml:space="preserve">Every tool has a declared permission scope: what data it can read, what actions it can take, what external services it contacts. The Dashboard shows this scope in plain language.</w:t>
      </w:r>
    </w:p>
    <w:p>
      <w:pPr>
        <w:pStyle w:val="Heading2"/>
        <w:spacing w:after="160" w:before="300"/>
      </w:pPr>
      <w:r>
        <w:rPr>
          <w:rFonts w:ascii="Arial" w:cs="Arial" w:eastAsia="Arial" w:hAnsi="Arial"/>
          <w:b/>
          <w:bCs/>
          <w:color w:val="2E75B6"/>
          <w:sz w:val="26"/>
          <w:szCs w:val="26"/>
        </w:rPr>
        <w:t xml:space="preserve">2.5 Memory Integrity</w:t>
      </w:r>
    </w:p>
    <w:p>
      <w:pPr>
        <w:spacing w:after="80" w:before="80"/>
      </w:pPr>
      <w:r>
        <w:rPr>
          <w:rFonts w:ascii="Arial" w:cs="Arial" w:eastAsia="Arial" w:hAnsi="Arial"/>
          <w:color w:val="2D2D2D"/>
          <w:sz w:val="21"/>
          <w:szCs w:val="21"/>
        </w:rPr>
        <w:t xml:space="preserve">Agent memory is the most subtle attack surface. If an attacker can modify what an agent “remembers,” they gain persistent influence over all future agent sessions. ABF protects memory integrity at multiple levels:</w:t>
      </w:r>
    </w:p>
    <w:p>
      <w:pPr>
        <w:spacing w:before="100"/>
      </w:pPr>
    </w:p>
    <w:p>
      <w:pPr>
        <w:pStyle w:val="ListParagraph"/>
        <w:numPr>
          <w:ilvl w:val="0"/>
          <w:numId w:val="2"/>
        </w:numPr>
        <w:spacing w:after="50" w:before="50"/>
      </w:pPr>
      <w:r>
        <w:rPr>
          <w:rFonts w:ascii="Arial" w:cs="Arial" w:eastAsia="Arial" w:hAnsi="Arial"/>
          <w:b/>
          <w:bCs/>
          <w:color w:val="2D2D2D"/>
          <w:sz w:val="21"/>
          <w:szCs w:val="21"/>
        </w:rPr>
        <w:t xml:space="preserve">Append-only history: </w:t>
      </w:r>
      <w:r>
        <w:rPr>
          <w:rFonts w:ascii="Arial" w:cs="Arial" w:eastAsia="Arial" w:hAnsi="Arial"/>
          <w:color w:val="2D2D2D"/>
          <w:sz w:val="21"/>
          <w:szCs w:val="21"/>
        </w:rPr>
        <w:t xml:space="preserve">Agent history files are append-only. Agents can add learnings but cannot modify or delete previous entries. The Dashboard shows the full timeline, and operators can edit or delete entries through the UI (but agents cannot).</w:t>
      </w:r>
    </w:p>
    <w:p>
      <w:pPr>
        <w:pStyle w:val="ListParagraph"/>
        <w:numPr>
          <w:ilvl w:val="0"/>
          <w:numId w:val="2"/>
        </w:numPr>
        <w:spacing w:after="50" w:before="50"/>
      </w:pPr>
      <w:r>
        <w:rPr>
          <w:rFonts w:ascii="Arial" w:cs="Arial" w:eastAsia="Arial" w:hAnsi="Arial"/>
          <w:b/>
          <w:bCs/>
          <w:color w:val="2D2D2D"/>
          <w:sz w:val="21"/>
          <w:szCs w:val="21"/>
        </w:rPr>
        <w:t xml:space="preserve">Memory checksums: </w:t>
      </w:r>
      <w:r>
        <w:rPr>
          <w:rFonts w:ascii="Arial" w:cs="Arial" w:eastAsia="Arial" w:hAnsi="Arial"/>
          <w:color w:val="2D2D2D"/>
          <w:sz w:val="21"/>
          <w:szCs w:val="21"/>
        </w:rPr>
        <w:t xml:space="preserve">ABF computes checksums of critical memory files (charter, decisions) at the start of every work session. If a checksum doesn’t match the expected value, the session is paused and the operator is alerted. This catches both external tampering and agent-initiated unauthorized modifications.</w:t>
      </w:r>
    </w:p>
    <w:p>
      <w:pPr>
        <w:pStyle w:val="ListParagraph"/>
        <w:numPr>
          <w:ilvl w:val="0"/>
          <w:numId w:val="2"/>
        </w:numPr>
        <w:spacing w:after="50" w:before="50"/>
      </w:pPr>
      <w:r>
        <w:rPr>
          <w:rFonts w:ascii="Arial" w:cs="Arial" w:eastAsia="Arial" w:hAnsi="Arial"/>
          <w:b/>
          <w:bCs/>
          <w:color w:val="2D2D2D"/>
          <w:sz w:val="21"/>
          <w:szCs w:val="21"/>
        </w:rPr>
        <w:t xml:space="preserve">Memory anomaly detection: </w:t>
      </w:r>
      <w:r>
        <w:rPr>
          <w:rFonts w:ascii="Arial" w:cs="Arial" w:eastAsia="Arial" w:hAnsi="Arial"/>
          <w:color w:val="2D2D2D"/>
          <w:sz w:val="21"/>
          <w:szCs w:val="21"/>
        </w:rPr>
        <w:t xml:space="preserve">ABF’s runtime monitors memory writes for anomalous patterns: sudden changes in writing style, instructions that reference other agents’ tools, attempts to modify escalation rules or permissions, and entries that contain what appears to be injected instructions. Suspicious writes are flagged for human review before being committed.</w:t>
      </w:r>
    </w:p>
    <w:p>
      <w:pPr>
        <w:pStyle w:val="ListParagraph"/>
        <w:numPr>
          <w:ilvl w:val="0"/>
          <w:numId w:val="2"/>
        </w:numPr>
        <w:spacing w:after="50" w:before="50"/>
      </w:pPr>
      <w:r>
        <w:rPr>
          <w:rFonts w:ascii="Arial" w:cs="Arial" w:eastAsia="Arial" w:hAnsi="Arial"/>
          <w:b/>
          <w:bCs/>
          <w:color w:val="2D2D2D"/>
          <w:sz w:val="21"/>
          <w:szCs w:val="21"/>
        </w:rPr>
        <w:t xml:space="preserve">Memory snapshots: </w:t>
      </w:r>
      <w:r>
        <w:rPr>
          <w:rFonts w:ascii="Arial" w:cs="Arial" w:eastAsia="Arial" w:hAnsi="Arial"/>
          <w:color w:val="2D2D2D"/>
          <w:sz w:val="21"/>
          <w:szCs w:val="21"/>
        </w:rPr>
        <w:t xml:space="preserve">ABF takes periodic snapshots of all agent memory. If memory poisoning is detected, the operator can roll back to a clean snapshot with one click from the Dashboard. This is the “rebuild readiness” principle from Microsoft’s guidance.</w:t>
      </w:r>
    </w:p>
    <w:p>
      <w:pPr>
        <w:pStyle w:val="ListParagraph"/>
        <w:numPr>
          <w:ilvl w:val="0"/>
          <w:numId w:val="2"/>
        </w:numPr>
        <w:spacing w:after="50" w:before="50"/>
      </w:pPr>
      <w:r>
        <w:rPr>
          <w:rFonts w:ascii="Arial" w:cs="Arial" w:eastAsia="Arial" w:hAnsi="Arial"/>
          <w:b/>
          <w:bCs/>
          <w:color w:val="2D2D2D"/>
          <w:sz w:val="21"/>
          <w:szCs w:val="21"/>
        </w:rPr>
        <w:t xml:space="preserve">Memory scoping: </w:t>
      </w:r>
      <w:r>
        <w:rPr>
          <w:rFonts w:ascii="Arial" w:cs="Arial" w:eastAsia="Arial" w:hAnsi="Arial"/>
          <w:color w:val="2D2D2D"/>
          <w:sz w:val="21"/>
          <w:szCs w:val="21"/>
        </w:rPr>
        <w:t xml:space="preserve">Agents can only read memory they’re authorized for. A Sales agent cannot read the Finance agent’s history. Team decisions are readable by team members only. Company-wide decisions are readable by all agents. This prevents a compromised agent from accessing other agents’ learned credentials or business intelligence.</w:t>
      </w:r>
    </w:p>
    <w:p>
      <w:pPr>
        <w:pStyle w:val="Heading2"/>
        <w:spacing w:after="160" w:before="300"/>
      </w:pPr>
      <w:r>
        <w:rPr>
          <w:rFonts w:ascii="Arial" w:cs="Arial" w:eastAsia="Arial" w:hAnsi="Arial"/>
          <w:b/>
          <w:bCs/>
          <w:color w:val="2E75B6"/>
          <w:sz w:val="26"/>
          <w:szCs w:val="26"/>
        </w:rPr>
        <w:t xml:space="preserve">2.6 Containment Over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C2626" w:sz="1"/>
              <w:left w:val="single" w:color="DC2626" w:sz="8"/>
              <w:bottom w:val="single" w:color="DC2626" w:sz="1"/>
              <w:right w:val="single" w:color="DC2626" w:sz="1"/>
            </w:tcBorders>
            <w:shd w:fill="FEF2F2" w:val="clear"/>
            <w:tcMar>
              <w:top w:type="dxa" w:w="120"/>
              <w:left w:type="dxa" w:w="200"/>
              <w:bottom w:type="dxa" w:w="120"/>
              <w:right w:type="dxa" w:w="200"/>
            </w:tcMar>
          </w:tcPr>
          <w:p>
            <w:r>
              <w:rPr>
                <w:rFonts w:ascii="Arial" w:cs="Arial" w:eastAsia="Arial" w:hAnsi="Arial"/>
                <w:color w:val="2D2D2D"/>
                <w:sz w:val="20"/>
                <w:szCs w:val="20"/>
              </w:rPr>
              <w:t xml:space="preserve">ABF ASSUMES AGENTS WILL EVENTUALLY PROCESS MALICIOUS INPUT. The question is not “can we prevent all attacks?” but “when an agent is compromised, what is the blast radius?”</w:t>
            </w:r>
          </w:p>
        </w:tc>
      </w:tr>
    </w:tbl>
    <w:p>
      <w:pPr>
        <w:spacing w:before="150"/>
      </w:pPr>
    </w:p>
    <w:p>
      <w:pPr>
        <w:spacing w:after="80" w:before="80"/>
      </w:pPr>
      <w:r>
        <w:rPr>
          <w:rFonts w:ascii="Arial" w:cs="Arial" w:eastAsia="Arial" w:hAnsi="Arial"/>
          <w:color w:val="2D2D2D"/>
          <w:sz w:val="21"/>
          <w:szCs w:val="21"/>
        </w:rPr>
        <w:t xml:space="preserve">Every ABF security control is designed for containment:</w:t>
      </w:r>
    </w:p>
    <w:p>
      <w:pPr>
        <w:pStyle w:val="ListParagraph"/>
        <w:numPr>
          <w:ilvl w:val="0"/>
          <w:numId w:val="2"/>
        </w:numPr>
        <w:spacing w:after="50" w:before="50"/>
      </w:pPr>
      <w:r>
        <w:rPr>
          <w:rFonts w:ascii="Arial" w:cs="Arial" w:eastAsia="Arial" w:hAnsi="Arial"/>
          <w:color w:val="2D2D2D"/>
          <w:sz w:val="21"/>
          <w:szCs w:val="21"/>
        </w:rPr>
        <w:t xml:space="preserve">Per-agent identity isolation: compromising one agent’s credentials does not grant access to other agents’ credentials or to the ABF runtime itself.</w:t>
      </w:r>
    </w:p>
    <w:p>
      <w:pPr>
        <w:pStyle w:val="ListParagraph"/>
        <w:numPr>
          <w:ilvl w:val="0"/>
          <w:numId w:val="2"/>
        </w:numPr>
        <w:spacing w:after="50" w:before="50"/>
      </w:pPr>
      <w:r>
        <w:rPr>
          <w:rFonts w:ascii="Arial" w:cs="Arial" w:eastAsia="Arial" w:hAnsi="Arial"/>
          <w:color w:val="2D2D2D"/>
          <w:sz w:val="21"/>
          <w:szCs w:val="21"/>
        </w:rPr>
        <w:t xml:space="preserve">Sandboxed execution: a malicious tool invocation is confined to its sandbox and cannot affect the host system, other agents, or the runtime.</w:t>
      </w:r>
    </w:p>
    <w:p>
      <w:pPr>
        <w:pStyle w:val="ListParagraph"/>
        <w:numPr>
          <w:ilvl w:val="0"/>
          <w:numId w:val="2"/>
        </w:numPr>
        <w:spacing w:after="50" w:before="50"/>
      </w:pPr>
      <w:r>
        <w:rPr>
          <w:rFonts w:ascii="Arial" w:cs="Arial" w:eastAsia="Arial" w:hAnsi="Arial"/>
          <w:color w:val="2D2D2D"/>
          <w:sz w:val="21"/>
          <w:szCs w:val="21"/>
        </w:rPr>
        <w:t xml:space="preserve">Scoped tool access: even within a sandbox, the tool can only do what its declared permission scope allows.</w:t>
      </w:r>
    </w:p>
    <w:p>
      <w:pPr>
        <w:pStyle w:val="ListParagraph"/>
        <w:numPr>
          <w:ilvl w:val="0"/>
          <w:numId w:val="2"/>
        </w:numPr>
        <w:spacing w:after="50" w:before="50"/>
      </w:pPr>
      <w:r>
        <w:rPr>
          <w:rFonts w:ascii="Arial" w:cs="Arial" w:eastAsia="Arial" w:hAnsi="Arial"/>
          <w:color w:val="2D2D2D"/>
          <w:sz w:val="21"/>
          <w:szCs w:val="21"/>
        </w:rPr>
        <w:t xml:space="preserve">Memory isolation: poisoning one agent’s memory does not affect other agents’ memory.</w:t>
      </w:r>
    </w:p>
    <w:p>
      <w:pPr>
        <w:pStyle w:val="ListParagraph"/>
        <w:numPr>
          <w:ilvl w:val="0"/>
          <w:numId w:val="2"/>
        </w:numPr>
        <w:spacing w:after="50" w:before="50"/>
      </w:pPr>
      <w:r>
        <w:rPr>
          <w:rFonts w:ascii="Arial" w:cs="Arial" w:eastAsia="Arial" w:hAnsi="Arial"/>
          <w:color w:val="2D2D2D"/>
          <w:sz w:val="21"/>
          <w:szCs w:val="21"/>
        </w:rPr>
        <w:t xml:space="preserve">One-click revocation: any integration, tool, or agent can be disabled instantly from the Dashboard.</w:t>
      </w:r>
    </w:p>
    <w:p>
      <w:pPr>
        <w:pStyle w:val="ListParagraph"/>
        <w:numPr>
          <w:ilvl w:val="0"/>
          <w:numId w:val="2"/>
        </w:numPr>
        <w:spacing w:after="50" w:before="50"/>
      </w:pPr>
      <w:r>
        <w:rPr>
          <w:rFonts w:ascii="Arial" w:cs="Arial" w:eastAsia="Arial" w:hAnsi="Arial"/>
          <w:color w:val="2D2D2D"/>
          <w:sz w:val="21"/>
          <w:szCs w:val="21"/>
        </w:rPr>
        <w:t xml:space="preserve">Rapid rebuild: any agent can be reset to a clean state (fresh charter, clean history, known-good snapshot) in seconds.</w:t>
      </w:r>
    </w:p>
    <w:p>
      <w:r>
        <w:br w:type="page"/>
      </w:r>
    </w:p>
    <w:p>
      <w:pPr>
        <w:pStyle w:val="Heading1"/>
        <w:spacing w:after="200" w:before="400"/>
      </w:pPr>
      <w:r>
        <w:rPr>
          <w:rFonts w:ascii="Arial" w:cs="Arial" w:eastAsia="Arial" w:hAnsi="Arial"/>
          <w:b/>
          <w:bCs/>
          <w:color w:val="1B365D"/>
          <w:sz w:val="32"/>
          <w:szCs w:val="32"/>
        </w:rPr>
        <w:t xml:space="preserve">3. Input Sanitization &amp; Prompt Injection Defense</w:t>
      </w:r>
    </w:p>
    <w:p>
      <w:pPr>
        <w:spacing w:after="80" w:before="80"/>
      </w:pPr>
      <w:r>
        <w:rPr>
          <w:rFonts w:ascii="Arial" w:cs="Arial" w:eastAsia="Arial" w:hAnsi="Arial"/>
          <w:color w:val="2D2D2D"/>
          <w:sz w:val="21"/>
          <w:szCs w:val="21"/>
        </w:rPr>
        <w:t xml:space="preserve">Indirect prompt injection — where malicious instructions are embedded in content an agent reads — is the primary attack vector for agentic systems. ABF implements a defense-in-depth approach:</w:t>
      </w:r>
    </w:p>
    <w:p>
      <w:pPr>
        <w:pStyle w:val="Heading2"/>
        <w:spacing w:after="160" w:before="300"/>
      </w:pPr>
      <w:r>
        <w:rPr>
          <w:rFonts w:ascii="Arial" w:cs="Arial" w:eastAsia="Arial" w:hAnsi="Arial"/>
          <w:b/>
          <w:bCs/>
          <w:color w:val="2E75B6"/>
          <w:sz w:val="26"/>
          <w:szCs w:val="26"/>
        </w:rPr>
        <w:t xml:space="preserve">3.1 The Input Pipeline</w:t>
      </w:r>
    </w:p>
    <w:p>
      <w:pPr>
        <w:spacing w:after="80" w:before="80"/>
      </w:pPr>
      <w:r>
        <w:rPr>
          <w:rFonts w:ascii="Arial" w:cs="Arial" w:eastAsia="Arial" w:hAnsi="Arial"/>
          <w:color w:val="2D2D2D"/>
          <w:sz w:val="21"/>
          <w:szCs w:val="21"/>
        </w:rPr>
        <w:t xml:space="preserve">Every piece of external content an agent processes goes through ABF’s input pipeline before reaching the agent’s LLM context:</w:t>
      </w:r>
    </w:p>
    <w:p>
      <w:pPr>
        <w:pStyle w:val="ListParagraph"/>
        <w:numPr>
          <w:ilvl w:val="0"/>
          <w:numId w:val="3"/>
        </w:numPr>
        <w:spacing w:after="50" w:before="50"/>
      </w:pPr>
      <w:r>
        <w:rPr>
          <w:rFonts w:ascii="Arial" w:cs="Arial" w:eastAsia="Arial" w:hAnsi="Arial"/>
          <w:color w:val="2D2D2D"/>
          <w:sz w:val="21"/>
          <w:szCs w:val="21"/>
        </w:rPr>
        <w:t xml:space="preserve">Source Tagging — All input is tagged with its source (email, web page, API response, user message, agent message, system). The agent’s LLM context clearly separates trusted instructions (charter, system) from untrusted content (external data).</w:t>
      </w:r>
    </w:p>
    <w:p>
      <w:pPr>
        <w:pStyle w:val="ListParagraph"/>
        <w:numPr>
          <w:ilvl w:val="0"/>
          <w:numId w:val="3"/>
        </w:numPr>
        <w:spacing w:after="50" w:before="50"/>
      </w:pPr>
      <w:r>
        <w:rPr>
          <w:rFonts w:ascii="Arial" w:cs="Arial" w:eastAsia="Arial" w:hAnsi="Arial"/>
          <w:color w:val="2D2D2D"/>
          <w:sz w:val="21"/>
          <w:szCs w:val="21"/>
        </w:rPr>
        <w:t xml:space="preserve">Content Isolation — External content is wrapped in clear delimiters that the agent’s charter instructs it to treat as data, not instructions. The agent is trained (via its charter) to never execute instructions found in external content.</w:t>
      </w:r>
    </w:p>
    <w:p>
      <w:pPr>
        <w:pStyle w:val="ListParagraph"/>
        <w:numPr>
          <w:ilvl w:val="0"/>
          <w:numId w:val="3"/>
        </w:numPr>
        <w:spacing w:after="50" w:before="50"/>
      </w:pPr>
      <w:r>
        <w:rPr>
          <w:rFonts w:ascii="Arial" w:cs="Arial" w:eastAsia="Arial" w:hAnsi="Arial"/>
          <w:color w:val="2D2D2D"/>
          <w:sz w:val="21"/>
          <w:szCs w:val="21"/>
        </w:rPr>
        <w:t xml:space="preserve">Injection Detection — ABF runs a lightweight classifier on external content to flag patterns that look like prompt injection attempts (instruction-like language, requests to ignore previous instructions, attempts to invoke tools). Flagged content is either sanitized, quarantined, or escalated to the operator.</w:t>
      </w:r>
    </w:p>
    <w:p>
      <w:pPr>
        <w:pStyle w:val="ListParagraph"/>
        <w:numPr>
          <w:ilvl w:val="0"/>
          <w:numId w:val="3"/>
        </w:numPr>
        <w:spacing w:after="50" w:before="50"/>
      </w:pPr>
      <w:r>
        <w:rPr>
          <w:rFonts w:ascii="Arial" w:cs="Arial" w:eastAsia="Arial" w:hAnsi="Arial"/>
          <w:color w:val="2D2D2D"/>
          <w:sz w:val="21"/>
          <w:szCs w:val="21"/>
        </w:rPr>
        <w:t xml:space="preserve">Output Validation — After the agent processes content and before any tool is invoked, ABF validates the agent’s requested actions against its permission scope. If an agent requests an action that’s outside its normal behavior pattern (e.g., the Content Writer agent tries to access the Stripe API), the request is blocked and escalated.</w:t>
      </w:r>
    </w:p>
    <w:p>
      <w:pPr>
        <w:pStyle w:val="Heading2"/>
        <w:spacing w:after="160" w:before="300"/>
      </w:pPr>
      <w:r>
        <w:rPr>
          <w:rFonts w:ascii="Arial" w:cs="Arial" w:eastAsia="Arial" w:hAnsi="Arial"/>
          <w:b/>
          <w:bCs/>
          <w:color w:val="2E75B6"/>
          <w:sz w:val="26"/>
          <w:szCs w:val="26"/>
        </w:rPr>
        <w:t xml:space="preserve">3.2 Behavioral Bounds</w:t>
      </w:r>
    </w:p>
    <w:p>
      <w:pPr>
        <w:spacing w:after="80" w:before="80"/>
      </w:pPr>
      <w:r>
        <w:rPr>
          <w:rFonts w:ascii="Arial" w:cs="Arial" w:eastAsia="Arial" w:hAnsi="Arial"/>
          <w:color w:val="2D2D2D"/>
          <w:sz w:val="21"/>
          <w:szCs w:val="21"/>
        </w:rPr>
        <w:t xml:space="preserve">Every agent has declared behavioral bounds in its definition:</w:t>
      </w:r>
    </w:p>
    <w:p>
      <w:pPr>
        <w:spacing w:after="40" w:before="40"/>
        <w:ind w:left="360"/>
      </w:pPr>
      <w:r>
        <w:rPr>
          <w:rFonts w:ascii="Courier New" w:cs="Courier New" w:eastAsia="Courier New" w:hAnsi="Courier New"/>
          <w:color w:val="555555"/>
          <w:sz w:val="19"/>
          <w:szCs w:val="19"/>
        </w:rPr>
        <w:t xml:space="preserve">behavioral_bounds:</w:t>
      </w:r>
    </w:p>
    <w:p>
      <w:pPr>
        <w:spacing w:after="40" w:before="40"/>
        <w:ind w:left="360"/>
      </w:pPr>
      <w:r>
        <w:rPr>
          <w:rFonts w:ascii="Courier New" w:cs="Courier New" w:eastAsia="Courier New" w:hAnsi="Courier New"/>
          <w:color w:val="555555"/>
          <w:sz w:val="19"/>
          <w:szCs w:val="19"/>
        </w:rPr>
        <w:t xml:space="preserve">  allowed_actions: [read_analytics, write_draft, send_to_review]</w:t>
      </w:r>
    </w:p>
    <w:p>
      <w:pPr>
        <w:spacing w:after="40" w:before="40"/>
        <w:ind w:left="360"/>
      </w:pPr>
      <w:r>
        <w:rPr>
          <w:rFonts w:ascii="Courier New" w:cs="Courier New" w:eastAsia="Courier New" w:hAnsi="Courier New"/>
          <w:color w:val="555555"/>
          <w:sz w:val="19"/>
          <w:szCs w:val="19"/>
        </w:rPr>
        <w:t xml:space="preserve">  forbidden_actions: [delete_data, modify_billing, access_credentials]</w:t>
      </w:r>
    </w:p>
    <w:p>
      <w:pPr>
        <w:spacing w:after="40" w:before="40"/>
        <w:ind w:left="360"/>
      </w:pPr>
      <w:r>
        <w:rPr>
          <w:rFonts w:ascii="Courier New" w:cs="Courier New" w:eastAsia="Courier New" w:hAnsi="Courier New"/>
          <w:color w:val="555555"/>
          <w:sz w:val="19"/>
          <w:szCs w:val="19"/>
        </w:rPr>
        <w:t xml:space="preserve">  max_cost_per_session: $2.00</w:t>
      </w:r>
    </w:p>
    <w:p>
      <w:pPr>
        <w:spacing w:after="40" w:before="40"/>
        <w:ind w:left="360"/>
      </w:pPr>
      <w:r>
        <w:rPr>
          <w:rFonts w:ascii="Courier New" w:cs="Courier New" w:eastAsia="Courier New" w:hAnsi="Courier New"/>
          <w:color w:val="555555"/>
          <w:sz w:val="19"/>
          <w:szCs w:val="19"/>
        </w:rPr>
        <w:t xml:space="preserve">  max_external_requests: 50</w:t>
      </w:r>
    </w:p>
    <w:p>
      <w:pPr>
        <w:spacing w:after="40" w:before="40"/>
        <w:ind w:left="360"/>
      </w:pPr>
      <w:r>
        <w:rPr>
          <w:rFonts w:ascii="Courier New" w:cs="Courier New" w:eastAsia="Courier New" w:hAnsi="Courier New"/>
          <w:color w:val="555555"/>
          <w:sz w:val="19"/>
          <w:szCs w:val="19"/>
        </w:rPr>
        <w:t xml:space="preserve">  max_messages_per_cycle: 10</w:t>
      </w:r>
    </w:p>
    <w:p>
      <w:pPr>
        <w:spacing w:after="40" w:before="40"/>
        <w:ind w:left="360"/>
      </w:pPr>
      <w:r>
        <w:rPr>
          <w:rFonts w:ascii="Courier New" w:cs="Courier New" w:eastAsia="Courier New" w:hAnsi="Courier New"/>
          <w:color w:val="555555"/>
          <w:sz w:val="19"/>
          <w:szCs w:val="19"/>
        </w:rPr>
        <w:t xml:space="preserve">  requires_approval: [publish_content, send_client_email, modify_pricing]</w:t>
      </w:r>
    </w:p>
    <w:p>
      <w:pPr>
        <w:spacing w:before="100"/>
      </w:pPr>
    </w:p>
    <w:p>
      <w:pPr>
        <w:spacing w:after="80" w:before="80"/>
      </w:pPr>
      <w:r>
        <w:rPr>
          <w:rFonts w:ascii="Arial" w:cs="Arial" w:eastAsia="Arial" w:hAnsi="Arial"/>
          <w:color w:val="2D2D2D"/>
          <w:sz w:val="21"/>
          <w:szCs w:val="21"/>
        </w:rPr>
        <w:t xml:space="preserve">The runtime enforces these bounds at the execution layer, not the prompt layer. Even if an agent’s reasoning is compromised by a prompt injection, it physically cannot invoke a tool outside its allowed_actions list. The behavioral bounds are enforced by ABF’s runtime code, not by the LLM.</w:t>
      </w:r>
    </w:p>
    <w:p>
      <w:r>
        <w:br w:type="page"/>
      </w:r>
    </w:p>
    <w:p>
      <w:pPr>
        <w:pStyle w:val="Heading1"/>
        <w:spacing w:after="200" w:before="400"/>
      </w:pPr>
      <w:r>
        <w:rPr>
          <w:rFonts w:ascii="Arial" w:cs="Arial" w:eastAsia="Arial" w:hAnsi="Arial"/>
          <w:b/>
          <w:bCs/>
          <w:color w:val="1B365D"/>
          <w:sz w:val="32"/>
          <w:szCs w:val="32"/>
        </w:rPr>
        <w:t xml:space="preserve">4. Identity &amp; Credential Architecture</w:t>
      </w:r>
    </w:p>
    <w:p>
      <w:pPr>
        <w:pStyle w:val="Heading2"/>
        <w:spacing w:after="160" w:before="300"/>
      </w:pPr>
      <w:r>
        <w:rPr>
          <w:rFonts w:ascii="Arial" w:cs="Arial" w:eastAsia="Arial" w:hAnsi="Arial"/>
          <w:b/>
          <w:bCs/>
          <w:color w:val="2E75B6"/>
          <w:sz w:val="26"/>
          <w:szCs w:val="26"/>
        </w:rPr>
        <w:t xml:space="preserve">4.1 Agent Identity Isolation</w:t>
      </w:r>
    </w:p>
    <w:p>
      <w:pPr>
        <w:spacing w:after="80" w:before="80"/>
      </w:pPr>
      <w:r>
        <w:rPr>
          <w:rFonts w:ascii="Arial" w:cs="Arial" w:eastAsia="Arial" w:hAnsi="Arial"/>
          <w:color w:val="2D2D2D"/>
          <w:sz w:val="21"/>
          <w:szCs w:val="21"/>
        </w:rPr>
        <w:t xml:space="preserve">Every ABF agent has its own identity context. This is not a shared service account — each agent has individually scoped credentials: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3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Implementation</w:t>
            </w:r>
          </w:p>
        </w:tc>
        <w:tc>
          <w:tcPr>
            <w:tcW w:type="dxa" w:w="43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Why It Matters</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LLM API access</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Per-agent API key or OAuth session. Agents cannot share LLM sessions.</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Compromising one agent’s LLM access does not expose other agents’ conversations or system prompts.</w:t>
            </w:r>
          </w:p>
        </w:tc>
      </w:tr>
      <w:tr>
        <w:tc>
          <w:tcPr>
            <w:tcW w:type="dxa" w:w="18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Integration tokens</w:t>
            </w:r>
          </w:p>
        </w:tc>
        <w:tc>
          <w:tcPr>
            <w:tcW w:type="dxa" w:w="3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Per-agent OAuth tokens with minimum required scopes. Tokens stored in encrypted vault, injected at runtime.</w:t>
            </w:r>
          </w:p>
        </w:tc>
        <w:tc>
          <w:tcPr>
            <w:tcW w:type="dxa" w:w="43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The Sales agent’s Gmail token only has send/read scope for sales@. The Finance agent’s Stripe token only has read-only access.</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Memory access</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Per-agent encryption keys for history files. Agents cannot read each other’s encrypted history.</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A compromised Research agent cannot read the Finance agent’s billing data or the Sales agent’s prospect list.</w:t>
            </w:r>
          </w:p>
        </w:tc>
      </w:tr>
      <w:tr>
        <w:tc>
          <w:tcPr>
            <w:tcW w:type="dxa" w:w="18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Message bus identity</w:t>
            </w:r>
          </w:p>
        </w:tc>
        <w:tc>
          <w:tcPr>
            <w:tcW w:type="dxa" w:w="3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Per-agent authentication on the message bus. Agents can only send messages FROM their own identity.</w:t>
            </w:r>
          </w:p>
        </w:tc>
        <w:tc>
          <w:tcPr>
            <w:tcW w:type="dxa" w:w="43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An attacker cannot impersonate one agent to manipulate another.</w:t>
            </w:r>
          </w:p>
        </w:tc>
      </w:tr>
    </w:tbl>
    <w:p>
      <w:pPr>
        <w:pStyle w:val="Heading2"/>
        <w:spacing w:after="160" w:before="300"/>
      </w:pPr>
      <w:r>
        <w:rPr>
          <w:rFonts w:ascii="Arial" w:cs="Arial" w:eastAsia="Arial" w:hAnsi="Arial"/>
          <w:b/>
          <w:bCs/>
          <w:color w:val="2E75B6"/>
          <w:sz w:val="26"/>
          <w:szCs w:val="26"/>
        </w:rPr>
        <w:t xml:space="preserve">4.2 Credential Lifecycle</w:t>
      </w:r>
    </w:p>
    <w:p>
      <w:pPr>
        <w:spacing w:after="80" w:before="80"/>
      </w:pPr>
      <w:r>
        <w:rPr>
          <w:rFonts w:ascii="Arial" w:cs="Arial" w:eastAsia="Arial" w:hAnsi="Arial"/>
          <w:color w:val="2D2D2D"/>
          <w:sz w:val="21"/>
          <w:szCs w:val="21"/>
        </w:rPr>
        <w:t xml:space="preserve">ABF manages the full credential lifecycle automatically. Operators configure integrations through the Dashboard. ABF handles everything else:</w:t>
      </w:r>
    </w:p>
    <w:p>
      <w:pPr>
        <w:pStyle w:val="ListParagraph"/>
        <w:numPr>
          <w:ilvl w:val="0"/>
          <w:numId w:val="2"/>
        </w:numPr>
        <w:spacing w:after="50" w:before="50"/>
      </w:pPr>
      <w:r>
        <w:rPr>
          <w:rFonts w:ascii="Arial" w:cs="Arial" w:eastAsia="Arial" w:hAnsi="Arial"/>
          <w:color w:val="2D2D2D"/>
          <w:sz w:val="21"/>
          <w:szCs w:val="21"/>
        </w:rPr>
        <w:t xml:space="preserve">Provisioning: OAuth flow in Dashboard → scoped token stored encrypted → assigned to specific agents</w:t>
      </w:r>
    </w:p>
    <w:p>
      <w:pPr>
        <w:pStyle w:val="ListParagraph"/>
        <w:numPr>
          <w:ilvl w:val="0"/>
          <w:numId w:val="2"/>
        </w:numPr>
        <w:spacing w:after="50" w:before="50"/>
      </w:pPr>
      <w:r>
        <w:rPr>
          <w:rFonts w:ascii="Arial" w:cs="Arial" w:eastAsia="Arial" w:hAnsi="Arial"/>
          <w:color w:val="2D2D2D"/>
          <w:sz w:val="21"/>
          <w:szCs w:val="21"/>
        </w:rPr>
        <w:t xml:space="preserve">Rotation: Automatic token refresh on schedule. Configurable rotation interval (default: every 24 hours for high-privilege tokens).</w:t>
      </w:r>
    </w:p>
    <w:p>
      <w:pPr>
        <w:pStyle w:val="ListParagraph"/>
        <w:numPr>
          <w:ilvl w:val="0"/>
          <w:numId w:val="2"/>
        </w:numPr>
        <w:spacing w:after="50" w:before="50"/>
      </w:pPr>
      <w:r>
        <w:rPr>
          <w:rFonts w:ascii="Arial" w:cs="Arial" w:eastAsia="Arial" w:hAnsi="Arial"/>
          <w:color w:val="2D2D2D"/>
          <w:sz w:val="21"/>
          <w:szCs w:val="21"/>
        </w:rPr>
        <w:t xml:space="preserve">Injection: Credentials are injected into the sandboxed tool execution environment at runtime. They exist in memory only for the duration of the tool call.</w:t>
      </w:r>
    </w:p>
    <w:p>
      <w:pPr>
        <w:pStyle w:val="ListParagraph"/>
        <w:numPr>
          <w:ilvl w:val="0"/>
          <w:numId w:val="2"/>
        </w:numPr>
        <w:spacing w:after="50" w:before="50"/>
      </w:pPr>
      <w:r>
        <w:rPr>
          <w:rFonts w:ascii="Arial" w:cs="Arial" w:eastAsia="Arial" w:hAnsi="Arial"/>
          <w:color w:val="2D2D2D"/>
          <w:sz w:val="21"/>
          <w:szCs w:val="21"/>
        </w:rPr>
        <w:t xml:space="preserve">Monitoring: ABF logs every credential use (which agent, which tool, what scope, what action). Anomalous patterns trigger alerts.</w:t>
      </w:r>
    </w:p>
    <w:p>
      <w:pPr>
        <w:pStyle w:val="ListParagraph"/>
        <w:numPr>
          <w:ilvl w:val="0"/>
          <w:numId w:val="2"/>
        </w:numPr>
        <w:spacing w:after="50" w:before="50"/>
      </w:pPr>
      <w:r>
        <w:rPr>
          <w:rFonts w:ascii="Arial" w:cs="Arial" w:eastAsia="Arial" w:hAnsi="Arial"/>
          <w:color w:val="2D2D2D"/>
          <w:sz w:val="21"/>
          <w:szCs w:val="21"/>
        </w:rPr>
        <w:t xml:space="preserve">Revocation: One-click revoke from Dashboard. Automatic revocation on anomaly detection (configurable: auto-revoke vs alert-and-wait).</w:t>
      </w:r>
    </w:p>
    <w:p>
      <w:pPr>
        <w:pStyle w:val="ListParagraph"/>
        <w:numPr>
          <w:ilvl w:val="0"/>
          <w:numId w:val="2"/>
        </w:numPr>
        <w:spacing w:after="50" w:before="50"/>
      </w:pPr>
      <w:r>
        <w:rPr>
          <w:rFonts w:ascii="Arial" w:cs="Arial" w:eastAsia="Arial" w:hAnsi="Arial"/>
          <w:color w:val="2D2D2D"/>
          <w:sz w:val="21"/>
          <w:szCs w:val="21"/>
        </w:rPr>
        <w:t xml:space="preserve">Cleanup: When an agent is deleted or an integration is disconnected, all associated credentials are immediately destroyed.</w:t>
      </w:r>
    </w:p>
    <w:p>
      <w:pPr>
        <w:pStyle w:val="Heading2"/>
        <w:spacing w:after="160" w:before="300"/>
      </w:pPr>
      <w:r>
        <w:rPr>
          <w:rFonts w:ascii="Arial" w:cs="Arial" w:eastAsia="Arial" w:hAnsi="Arial"/>
          <w:b/>
          <w:bCs/>
          <w:color w:val="2E75B6"/>
          <w:sz w:val="26"/>
          <w:szCs w:val="26"/>
        </w:rPr>
        <w:t xml:space="preserve">4.3 Human Identity</w:t>
      </w:r>
    </w:p>
    <w:p>
      <w:pPr>
        <w:spacing w:after="80" w:before="80"/>
      </w:pPr>
      <w:r>
        <w:rPr>
          <w:rFonts w:ascii="Arial" w:cs="Arial" w:eastAsia="Arial" w:hAnsi="Arial"/>
          <w:color w:val="2D2D2D"/>
          <w:sz w:val="21"/>
          <w:szCs w:val="21"/>
        </w:rPr>
        <w:t xml:space="preserve">The human operator’s identity is separate from all agent identities. Operators authenticate to the Dashboard via their own credentials (email/password, OAuth, or SSO). Agent actions are never attributed to the human operator’s identity. This means:</w:t>
      </w:r>
    </w:p>
    <w:p>
      <w:pPr>
        <w:pStyle w:val="ListParagraph"/>
        <w:numPr>
          <w:ilvl w:val="0"/>
          <w:numId w:val="2"/>
        </w:numPr>
        <w:spacing w:after="50" w:before="50"/>
      </w:pPr>
      <w:r>
        <w:rPr>
          <w:rFonts w:ascii="Arial" w:cs="Arial" w:eastAsia="Arial" w:hAnsi="Arial"/>
          <w:color w:val="2D2D2D"/>
          <w:sz w:val="21"/>
          <w:szCs w:val="21"/>
        </w:rPr>
        <w:t xml:space="preserve">If an agent sends an email, it comes from the agent’s configured address, not the operator’s personal email.</w:t>
      </w:r>
    </w:p>
    <w:p>
      <w:pPr>
        <w:pStyle w:val="ListParagraph"/>
        <w:numPr>
          <w:ilvl w:val="0"/>
          <w:numId w:val="2"/>
        </w:numPr>
        <w:spacing w:after="50" w:before="50"/>
      </w:pPr>
      <w:r>
        <w:rPr>
          <w:rFonts w:ascii="Arial" w:cs="Arial" w:eastAsia="Arial" w:hAnsi="Arial"/>
          <w:color w:val="2D2D2D"/>
          <w:sz w:val="21"/>
          <w:szCs w:val="21"/>
        </w:rPr>
        <w:t xml:space="preserve">If an agent accesses an API, it uses the agent’s scoped token, not the operator’s master account.</w:t>
      </w:r>
    </w:p>
    <w:p>
      <w:pPr>
        <w:pStyle w:val="ListParagraph"/>
        <w:numPr>
          <w:ilvl w:val="0"/>
          <w:numId w:val="2"/>
        </w:numPr>
        <w:spacing w:after="50" w:before="50"/>
      </w:pPr>
      <w:r>
        <w:rPr>
          <w:rFonts w:ascii="Arial" w:cs="Arial" w:eastAsia="Arial" w:hAnsi="Arial"/>
          <w:color w:val="2D2D2D"/>
          <w:sz w:val="21"/>
          <w:szCs w:val="21"/>
        </w:rPr>
        <w:t xml:space="preserve">Audit logs clearly distinguish human actions from agent actions.</w:t>
      </w:r>
    </w:p>
    <w:p>
      <w:r>
        <w:br w:type="page"/>
      </w:r>
    </w:p>
    <w:p>
      <w:pPr>
        <w:pStyle w:val="Heading1"/>
        <w:spacing w:after="200" w:before="400"/>
      </w:pPr>
      <w:r>
        <w:rPr>
          <w:rFonts w:ascii="Arial" w:cs="Arial" w:eastAsia="Arial" w:hAnsi="Arial"/>
          <w:b/>
          <w:bCs/>
          <w:color w:val="1B365D"/>
          <w:sz w:val="32"/>
          <w:szCs w:val="32"/>
        </w:rPr>
        <w:t xml:space="preserve">5. Audit Trail &amp; Observability</w:t>
      </w:r>
    </w:p>
    <w:p>
      <w:pPr>
        <w:spacing w:after="80" w:before="80"/>
      </w:pPr>
      <w:r>
        <w:rPr>
          <w:rFonts w:ascii="Arial" w:cs="Arial" w:eastAsia="Arial" w:hAnsi="Arial"/>
          <w:color w:val="2D2D2D"/>
          <w:sz w:val="21"/>
          <w:szCs w:val="21"/>
        </w:rPr>
        <w:t xml:space="preserve">ABF logs everything. Every agent action, tool invocation, inter-agent message, memory write, and escalation is recorded in an immutable audit log. This is not optional — it’s core infrastructure.</w:t>
      </w:r>
    </w:p>
    <w:p>
      <w:pPr>
        <w:pStyle w:val="Heading2"/>
        <w:spacing w:after="160" w:before="300"/>
      </w:pPr>
      <w:r>
        <w:rPr>
          <w:rFonts w:ascii="Arial" w:cs="Arial" w:eastAsia="Arial" w:hAnsi="Arial"/>
          <w:b/>
          <w:bCs/>
          <w:color w:val="2E75B6"/>
          <w:sz w:val="26"/>
          <w:szCs w:val="26"/>
        </w:rPr>
        <w:t xml:space="preserve">5.1 What Gets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960"/>
      </w:tblGrid>
      <w:tr>
        <w:trPr>
          <w:tblHeader/>
        </w:trP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Event Type</w:t>
            </w:r>
          </w:p>
        </w:tc>
        <w:tc>
          <w:tcPr>
            <w:tcW w:type="dxa" w:w="4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Data Captured</w:t>
            </w:r>
          </w:p>
        </w:tc>
        <w:tc>
          <w:tcPr>
            <w:tcW w:type="dxa" w:w="29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Retention</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Agent session start/end</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Agent name, trigger type, context loaded, model used, tokens consumed, cost</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90 days (default)</w:t>
            </w:r>
          </w:p>
        </w:tc>
      </w:tr>
      <w:tr>
        <w:tc>
          <w:tcPr>
            <w:tcW w:type="dxa" w:w="18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Tool invocation</w:t>
            </w:r>
          </w:p>
        </w:tc>
        <w:tc>
          <w:tcPr>
            <w:tcW w:type="dxa" w:w="46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Agent, tool name, input parameters (sanitized), output, duration, sandbox ID</w:t>
            </w:r>
          </w:p>
        </w:tc>
        <w:tc>
          <w:tcPr>
            <w:tcW w:type="dxa" w:w="29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90 days</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Message bus</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From, to, type, priority, payload summary (not full payload for privacy), timestamp</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90 days</w:t>
            </w:r>
          </w:p>
        </w:tc>
      </w:tr>
      <w:tr>
        <w:tc>
          <w:tcPr>
            <w:tcW w:type="dxa" w:w="18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Memory write</w:t>
            </w:r>
          </w:p>
        </w:tc>
        <w:tc>
          <w:tcPr>
            <w:tcW w:type="dxa" w:w="46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Agent, memory layer, content hash, anomaly score, approved/flagged</w:t>
            </w:r>
          </w:p>
        </w:tc>
        <w:tc>
          <w:tcPr>
            <w:tcW w:type="dxa" w:w="29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Indefinite</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Escalation</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Agent, reason, context, operator response, resolution time</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Indefinite</w:t>
            </w:r>
          </w:p>
        </w:tc>
      </w:tr>
      <w:tr>
        <w:tc>
          <w:tcPr>
            <w:tcW w:type="dxa" w:w="18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Integration use</w:t>
            </w:r>
          </w:p>
        </w:tc>
        <w:tc>
          <w:tcPr>
            <w:tcW w:type="dxa" w:w="46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Agent, integration, token scope used, action taken, target resource</w:t>
            </w:r>
          </w:p>
        </w:tc>
        <w:tc>
          <w:tcPr>
            <w:tcW w:type="dxa" w:w="29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90 days</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Security event</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Anomaly type, severity, affected agent, containment action taken, resolution</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Indefinite</w:t>
            </w:r>
          </w:p>
        </w:tc>
      </w:tr>
      <w:tr>
        <w:tc>
          <w:tcPr>
            <w:tcW w:type="dxa" w:w="18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Operator action</w:t>
            </w:r>
          </w:p>
        </w:tc>
        <w:tc>
          <w:tcPr>
            <w:tcW w:type="dxa" w:w="46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User, action type, target (agent/setting/integration), timestamp</w:t>
            </w:r>
          </w:p>
        </w:tc>
        <w:tc>
          <w:tcPr>
            <w:tcW w:type="dxa" w:w="29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Indefinite</w:t>
            </w:r>
          </w:p>
        </w:tc>
      </w:tr>
    </w:tbl>
    <w:p>
      <w:pPr>
        <w:pStyle w:val="Heading2"/>
        <w:spacing w:after="160" w:before="300"/>
      </w:pPr>
      <w:r>
        <w:rPr>
          <w:rFonts w:ascii="Arial" w:cs="Arial" w:eastAsia="Arial" w:hAnsi="Arial"/>
          <w:b/>
          <w:bCs/>
          <w:color w:val="2E75B6"/>
          <w:sz w:val="26"/>
          <w:szCs w:val="26"/>
        </w:rPr>
        <w:t xml:space="preserve">5.2 Dashboard: Security View</w:t>
      </w:r>
    </w:p>
    <w:p>
      <w:pPr>
        <w:spacing w:after="80" w:before="80"/>
      </w:pPr>
      <w:r>
        <w:rPr>
          <w:rFonts w:ascii="Arial" w:cs="Arial" w:eastAsia="Arial" w:hAnsi="Arial"/>
          <w:color w:val="2D2D2D"/>
          <w:sz w:val="21"/>
          <w:szCs w:val="21"/>
        </w:rPr>
        <w:t xml:space="preserve">The Dashboard includes a dedicated Security panel (visible to operators with security permissions):</w:t>
      </w:r>
    </w:p>
    <w:p>
      <w:pPr>
        <w:pStyle w:val="ListParagraph"/>
        <w:numPr>
          <w:ilvl w:val="0"/>
          <w:numId w:val="2"/>
        </w:numPr>
        <w:spacing w:after="50" w:before="50"/>
      </w:pPr>
      <w:r>
        <w:rPr>
          <w:rFonts w:ascii="Arial" w:cs="Arial" w:eastAsia="Arial" w:hAnsi="Arial"/>
          <w:color w:val="2D2D2D"/>
          <w:sz w:val="21"/>
          <w:szCs w:val="21"/>
        </w:rPr>
        <w:t xml:space="preserve">Real-time security events: anomaly detections, injection attempts, unauthorized tool calls, credential usage anomalies</w:t>
      </w:r>
    </w:p>
    <w:p>
      <w:pPr>
        <w:pStyle w:val="ListParagraph"/>
        <w:numPr>
          <w:ilvl w:val="0"/>
          <w:numId w:val="2"/>
        </w:numPr>
        <w:spacing w:after="50" w:before="50"/>
      </w:pPr>
      <w:r>
        <w:rPr>
          <w:rFonts w:ascii="Arial" w:cs="Arial" w:eastAsia="Arial" w:hAnsi="Arial"/>
          <w:color w:val="2D2D2D"/>
          <w:sz w:val="21"/>
          <w:szCs w:val="21"/>
        </w:rPr>
        <w:t xml:space="preserve">Agent trust scores: rolling assessment of each agent’s behavioral consistency. A sudden change in behavior patterns (different tool usage, unusual communication, memory anomalies) lowers the trust score and triggers alerts.</w:t>
      </w:r>
    </w:p>
    <w:p>
      <w:pPr>
        <w:pStyle w:val="ListParagraph"/>
        <w:numPr>
          <w:ilvl w:val="0"/>
          <w:numId w:val="2"/>
        </w:numPr>
        <w:spacing w:after="50" w:before="50"/>
      </w:pPr>
      <w:r>
        <w:rPr>
          <w:rFonts w:ascii="Arial" w:cs="Arial" w:eastAsia="Arial" w:hAnsi="Arial"/>
          <w:color w:val="2D2D2D"/>
          <w:sz w:val="21"/>
          <w:szCs w:val="21"/>
        </w:rPr>
        <w:t xml:space="preserve">Integration health: token status, last rotation, scope changes, unusual usage patterns</w:t>
      </w:r>
    </w:p>
    <w:p>
      <w:pPr>
        <w:pStyle w:val="ListParagraph"/>
        <w:numPr>
          <w:ilvl w:val="0"/>
          <w:numId w:val="2"/>
        </w:numPr>
        <w:spacing w:after="50" w:before="50"/>
      </w:pPr>
      <w:r>
        <w:rPr>
          <w:rFonts w:ascii="Arial" w:cs="Arial" w:eastAsia="Arial" w:hAnsi="Arial"/>
          <w:color w:val="2D2D2D"/>
          <w:sz w:val="21"/>
          <w:szCs w:val="21"/>
        </w:rPr>
        <w:t xml:space="preserve">Memory integrity: checksum status, recent writes, anomaly flags, snapshot history</w:t>
      </w:r>
    </w:p>
    <w:p>
      <w:pPr>
        <w:pStyle w:val="ListParagraph"/>
        <w:numPr>
          <w:ilvl w:val="0"/>
          <w:numId w:val="2"/>
        </w:numPr>
        <w:spacing w:after="50" w:before="50"/>
      </w:pPr>
      <w:r>
        <w:rPr>
          <w:rFonts w:ascii="Arial" w:cs="Arial" w:eastAsia="Arial" w:hAnsi="Arial"/>
          <w:color w:val="2D2D2D"/>
          <w:sz w:val="21"/>
          <w:szCs w:val="21"/>
        </w:rPr>
        <w:t xml:space="preserve">Containment controls: one-click agent pause, integration revoke, memory rollback, full agent reset</w:t>
      </w:r>
    </w:p>
    <w:p>
      <w:pPr>
        <w:pStyle w:val="Heading2"/>
        <w:spacing w:after="160" w:before="300"/>
      </w:pPr>
      <w:r>
        <w:rPr>
          <w:rFonts w:ascii="Arial" w:cs="Arial" w:eastAsia="Arial" w:hAnsi="Arial"/>
          <w:b/>
          <w:bCs/>
          <w:color w:val="2E75B6"/>
          <w:sz w:val="26"/>
          <w:szCs w:val="26"/>
        </w:rPr>
        <w:t xml:space="preserve">5.3 Alerts &amp; Auto-Response</w:t>
      </w:r>
    </w:p>
    <w:p>
      <w:pPr>
        <w:spacing w:after="80" w:before="80"/>
      </w:pPr>
      <w:r>
        <w:rPr>
          <w:rFonts w:ascii="Arial" w:cs="Arial" w:eastAsia="Arial" w:hAnsi="Arial"/>
          <w:color w:val="2D2D2D"/>
          <w:sz w:val="21"/>
          <w:szCs w:val="21"/>
        </w:rPr>
        <w:t xml:space="preserve">ABF can auto-respond to security events based on configurable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Event</w:t>
            </w:r>
          </w:p>
        </w:tc>
        <w:tc>
          <w:tcPr>
            <w:tcW w:type="dxa" w:w="2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Default Response</w:t>
            </w:r>
          </w:p>
        </w:tc>
        <w:tc>
          <w:tcPr>
            <w:tcW w:type="dxa" w:w="37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Configurable</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Injection attempt detected in input</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Sanitize content, log event, continue</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Can escalate to human or quarantine content</w:t>
            </w:r>
          </w:p>
        </w:tc>
      </w:tr>
      <w:tr>
        <w:tc>
          <w:tcPr>
            <w:tcW w:type="dxa" w:w="28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Agent requests tool outside allowed_actions</w:t>
            </w:r>
          </w:p>
        </w:tc>
        <w:tc>
          <w:tcPr>
            <w:tcW w:type="dxa" w:w="28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Block request, log event, alert operator</w:t>
            </w:r>
          </w:p>
        </w:tc>
        <w:tc>
          <w:tcPr>
            <w:tcW w:type="dxa" w:w="37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Cannot be overridden — always enforced</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Memory checksum mismatch</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Pause agent, alert operator</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Can auto-rollback to last snapshot</w:t>
            </w:r>
          </w:p>
        </w:tc>
      </w:tr>
      <w:tr>
        <w:tc>
          <w:tcPr>
            <w:tcW w:type="dxa" w:w="28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Credential usage anomaly (unusual time, scope, volume)</w:t>
            </w:r>
          </w:p>
        </w:tc>
        <w:tc>
          <w:tcPr>
            <w:tcW w:type="dxa" w:w="28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Alert operator</w:t>
            </w:r>
          </w:p>
        </w:tc>
        <w:tc>
          <w:tcPr>
            <w:tcW w:type="dxa" w:w="37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Can auto-revoke and pause agent</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Agent trust score drops below threshold</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Alert operator with context</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Can auto-pause agent</w:t>
            </w:r>
          </w:p>
        </w:tc>
      </w:tr>
      <w:tr>
        <w:tc>
          <w:tcPr>
            <w:tcW w:type="dxa" w:w="28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Tool execution exceeds resource limits</w:t>
            </w:r>
          </w:p>
        </w:tc>
        <w:tc>
          <w:tcPr>
            <w:tcW w:type="dxa" w:w="28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Kill sandbox, log event</w:t>
            </w:r>
          </w:p>
        </w:tc>
        <w:tc>
          <w:tcPr>
            <w:tcW w:type="dxa" w:w="37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Cannot be overridden</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Agent attempts to communicate with unapproved agent</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Block message, log event</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Cannot be overridden</w:t>
            </w:r>
          </w:p>
        </w:tc>
      </w:tr>
    </w:tbl>
    <w:p>
      <w:r>
        <w:br w:type="page"/>
      </w:r>
    </w:p>
    <w:p>
      <w:pPr>
        <w:pStyle w:val="Heading1"/>
        <w:spacing w:after="200" w:before="400"/>
      </w:pPr>
      <w:r>
        <w:rPr>
          <w:rFonts w:ascii="Arial" w:cs="Arial" w:eastAsia="Arial" w:hAnsi="Arial"/>
          <w:b/>
          <w:bCs/>
          <w:color w:val="1B365D"/>
          <w:sz w:val="32"/>
          <w:szCs w:val="32"/>
        </w:rPr>
        <w:t xml:space="preserve">6. Network Security &amp; Data Protection</w:t>
      </w:r>
    </w:p>
    <w:p>
      <w:pPr>
        <w:pStyle w:val="Heading2"/>
        <w:spacing w:after="160" w:before="300"/>
      </w:pPr>
      <w:r>
        <w:rPr>
          <w:rFonts w:ascii="Arial" w:cs="Arial" w:eastAsia="Arial" w:hAnsi="Arial"/>
          <w:b/>
          <w:bCs/>
          <w:color w:val="2E75B6"/>
          <w:sz w:val="26"/>
          <w:szCs w:val="26"/>
        </w:rPr>
        <w:t xml:space="preserve">6.1 Network Isolation</w:t>
      </w:r>
    </w:p>
    <w:p>
      <w:pPr>
        <w:spacing w:after="80" w:before="80"/>
      </w:pPr>
      <w:r>
        <w:rPr>
          <w:rFonts w:ascii="Arial" w:cs="Arial" w:eastAsia="Arial" w:hAnsi="Arial"/>
          <w:color w:val="2D2D2D"/>
          <w:sz w:val="21"/>
          <w:szCs w:val="21"/>
        </w:rPr>
        <w:t xml:space="preserve">Agent execution sandboxes have restricted network access:</w:t>
      </w:r>
    </w:p>
    <w:p>
      <w:pPr>
        <w:pStyle w:val="ListParagraph"/>
        <w:numPr>
          <w:ilvl w:val="0"/>
          <w:numId w:val="2"/>
        </w:numPr>
        <w:spacing w:after="50" w:before="50"/>
      </w:pPr>
      <w:r>
        <w:rPr>
          <w:rFonts w:ascii="Arial" w:cs="Arial" w:eastAsia="Arial" w:hAnsi="Arial"/>
          <w:b/>
          <w:bCs/>
          <w:color w:val="2D2D2D"/>
          <w:sz w:val="21"/>
          <w:szCs w:val="21"/>
        </w:rPr>
        <w:t xml:space="preserve">Allowlist-only egress: </w:t>
      </w:r>
      <w:r>
        <w:rPr>
          <w:rFonts w:ascii="Arial" w:cs="Arial" w:eastAsia="Arial" w:hAnsi="Arial"/>
          <w:color w:val="2D2D2D"/>
          <w:sz w:val="21"/>
          <w:szCs w:val="21"/>
        </w:rPr>
        <w:t xml:space="preserve">Each agent’s sandbox can only reach network destinations declared in its tool configuration. A Content Writer agent can reach the CMS API and social media APIs. It cannot reach arbitrary internet URLs, internal databases, or other agents’ sandboxes.</w:t>
      </w:r>
    </w:p>
    <w:p>
      <w:pPr>
        <w:pStyle w:val="ListParagraph"/>
        <w:numPr>
          <w:ilvl w:val="0"/>
          <w:numId w:val="2"/>
        </w:numPr>
        <w:spacing w:after="50" w:before="50"/>
      </w:pPr>
      <w:r>
        <w:rPr>
          <w:rFonts w:ascii="Arial" w:cs="Arial" w:eastAsia="Arial" w:hAnsi="Arial"/>
          <w:b/>
          <w:bCs/>
          <w:color w:val="2D2D2D"/>
          <w:sz w:val="21"/>
          <w:szCs w:val="21"/>
        </w:rPr>
        <w:t xml:space="preserve">No inbound connections: </w:t>
      </w:r>
      <w:r>
        <w:rPr>
          <w:rFonts w:ascii="Arial" w:cs="Arial" w:eastAsia="Arial" w:hAnsi="Arial"/>
          <w:color w:val="2D2D2D"/>
          <w:sz w:val="21"/>
          <w:szCs w:val="21"/>
        </w:rPr>
        <w:t xml:space="preserve">Agent sandboxes never listen on network ports. There is no exposed control surface. Communication goes through the ABF runtime’s message bus, not direct network connections.</w:t>
      </w:r>
    </w:p>
    <w:p>
      <w:pPr>
        <w:pStyle w:val="ListParagraph"/>
        <w:numPr>
          <w:ilvl w:val="0"/>
          <w:numId w:val="2"/>
        </w:numPr>
        <w:spacing w:after="50" w:before="50"/>
      </w:pPr>
      <w:r>
        <w:rPr>
          <w:rFonts w:ascii="Arial" w:cs="Arial" w:eastAsia="Arial" w:hAnsi="Arial"/>
          <w:b/>
          <w:bCs/>
          <w:color w:val="2D2D2D"/>
          <w:sz w:val="21"/>
          <w:szCs w:val="21"/>
        </w:rPr>
        <w:t xml:space="preserve">DNS filtering: </w:t>
      </w:r>
      <w:r>
        <w:rPr>
          <w:rFonts w:ascii="Arial" w:cs="Arial" w:eastAsia="Arial" w:hAnsi="Arial"/>
          <w:color w:val="2D2D2D"/>
          <w:sz w:val="21"/>
          <w:szCs w:val="21"/>
        </w:rPr>
        <w:t xml:space="preserve">Sandboxes use a restricted DNS resolver that only resolves declared destinations. Attempts to resolve other domains are logged as security events.</w:t>
      </w:r>
    </w:p>
    <w:p>
      <w:pPr>
        <w:pStyle w:val="Heading2"/>
        <w:spacing w:after="160" w:before="300"/>
      </w:pPr>
      <w:r>
        <w:rPr>
          <w:rFonts w:ascii="Arial" w:cs="Arial" w:eastAsia="Arial" w:hAnsi="Arial"/>
          <w:b/>
          <w:bCs/>
          <w:color w:val="2E75B6"/>
          <w:sz w:val="26"/>
          <w:szCs w:val="26"/>
        </w:rPr>
        <w:t xml:space="preserve">6.2 Data Classification</w:t>
      </w:r>
    </w:p>
    <w:p>
      <w:pPr>
        <w:spacing w:after="80" w:before="80"/>
      </w:pPr>
      <w:r>
        <w:rPr>
          <w:rFonts w:ascii="Arial" w:cs="Arial" w:eastAsia="Arial" w:hAnsi="Arial"/>
          <w:color w:val="2D2D2D"/>
          <w:sz w:val="21"/>
          <w:szCs w:val="21"/>
        </w:rPr>
        <w:t xml:space="preserve">ABF supports data classification labels that flow through the entire system:</w:t>
      </w:r>
    </w:p>
    <w:p>
      <w:pPr>
        <w:pStyle w:val="ListParagraph"/>
        <w:numPr>
          <w:ilvl w:val="0"/>
          <w:numId w:val="2"/>
        </w:numPr>
        <w:spacing w:after="50" w:before="50"/>
      </w:pPr>
      <w:r>
        <w:rPr>
          <w:rFonts w:ascii="Arial" w:cs="Arial" w:eastAsia="Arial" w:hAnsi="Arial"/>
          <w:color w:val="2D2D2D"/>
          <w:sz w:val="21"/>
          <w:szCs w:val="21"/>
        </w:rPr>
        <w:t xml:space="preserve">Operators can label data sources (e.g., “client-confidential,” “internal-only,” “public”)</w:t>
      </w:r>
    </w:p>
    <w:p>
      <w:pPr>
        <w:pStyle w:val="ListParagraph"/>
        <w:numPr>
          <w:ilvl w:val="0"/>
          <w:numId w:val="2"/>
        </w:numPr>
        <w:spacing w:after="50" w:before="50"/>
      </w:pPr>
      <w:r>
        <w:rPr>
          <w:rFonts w:ascii="Arial" w:cs="Arial" w:eastAsia="Arial" w:hAnsi="Arial"/>
          <w:color w:val="2D2D2D"/>
          <w:sz w:val="21"/>
          <w:szCs w:val="21"/>
        </w:rPr>
        <w:t xml:space="preserve">Agents inherit data handling policies based on the classification of data they’re authorized to access</w:t>
      </w:r>
    </w:p>
    <w:p>
      <w:pPr>
        <w:pStyle w:val="ListParagraph"/>
        <w:numPr>
          <w:ilvl w:val="0"/>
          <w:numId w:val="2"/>
        </w:numPr>
        <w:spacing w:after="50" w:before="50"/>
      </w:pPr>
      <w:r>
        <w:rPr>
          <w:rFonts w:ascii="Arial" w:cs="Arial" w:eastAsia="Arial" w:hAnsi="Arial"/>
          <w:color w:val="2D2D2D"/>
          <w:sz w:val="21"/>
          <w:szCs w:val="21"/>
        </w:rPr>
        <w:t xml:space="preserve">The runtime prevents cross-classification data flow (e.g., an agent with access to “client-confidential” data cannot send that data to a tool connected to a “public” service)</w:t>
      </w:r>
    </w:p>
    <w:p>
      <w:pPr>
        <w:pStyle w:val="ListParagraph"/>
        <w:numPr>
          <w:ilvl w:val="0"/>
          <w:numId w:val="2"/>
        </w:numPr>
        <w:spacing w:after="50" w:before="50"/>
      </w:pPr>
      <w:r>
        <w:rPr>
          <w:rFonts w:ascii="Arial" w:cs="Arial" w:eastAsia="Arial" w:hAnsi="Arial"/>
          <w:color w:val="2D2D2D"/>
          <w:sz w:val="21"/>
          <w:szCs w:val="21"/>
        </w:rPr>
        <w:t xml:space="preserve">Audit logs include data classification context so security teams can trace sensitive data flow</w:t>
      </w:r>
    </w:p>
    <w:p>
      <w:pPr>
        <w:pStyle w:val="Heading2"/>
        <w:spacing w:after="160" w:before="300"/>
      </w:pPr>
      <w:r>
        <w:rPr>
          <w:rFonts w:ascii="Arial" w:cs="Arial" w:eastAsia="Arial" w:hAnsi="Arial"/>
          <w:b/>
          <w:bCs/>
          <w:color w:val="2E75B6"/>
          <w:sz w:val="26"/>
          <w:szCs w:val="26"/>
        </w:rPr>
        <w:t xml:space="preserve">6.3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Data State</w:t>
            </w:r>
          </w:p>
        </w:tc>
        <w:tc>
          <w:tcPr>
            <w:tcW w:type="dxa" w:w="63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Encryption</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Credentials at rest</w:t>
            </w:r>
          </w:p>
        </w:tc>
        <w:tc>
          <w:tcPr>
            <w:tcW w:type="dxa" w:w="6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AES-256-GCM, per-instance encryption key, stored in encrypted vault</w:t>
            </w:r>
          </w:p>
        </w:tc>
      </w:tr>
      <w:tr>
        <w:tc>
          <w:tcPr>
            <w:tcW w:type="dxa" w:w="3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Agent memory at rest</w:t>
            </w:r>
          </w:p>
        </w:tc>
        <w:tc>
          <w:tcPr>
            <w:tcW w:type="dxa" w:w="63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AES-256-GCM, per-agent encryption key (optional, default for production)</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Data in transit (dashboard)</w:t>
            </w:r>
          </w:p>
        </w:tc>
        <w:tc>
          <w:tcPr>
            <w:tcW w:type="dxa" w:w="6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TLS 1.3</w:t>
            </w:r>
          </w:p>
        </w:tc>
      </w:tr>
      <w:tr>
        <w:tc>
          <w:tcPr>
            <w:tcW w:type="dxa" w:w="3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Data in transit (message bus)</w:t>
            </w:r>
          </w:p>
        </w:tc>
        <w:tc>
          <w:tcPr>
            <w:tcW w:type="dxa" w:w="63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TLS 1.3 (Redis/BullMQ). In-process bus: N/A (memory only).</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Data in transit (LLM API calls)</w:t>
            </w:r>
          </w:p>
        </w:tc>
        <w:tc>
          <w:tcPr>
            <w:tcW w:type="dxa" w:w="6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TLS 1.3 (provider’s transport). Local models: N/A.</w:t>
            </w:r>
          </w:p>
        </w:tc>
      </w:tr>
      <w:tr>
        <w:tc>
          <w:tcPr>
            <w:tcW w:type="dxa" w:w="3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Audit logs at rest</w:t>
            </w:r>
          </w:p>
        </w:tc>
        <w:tc>
          <w:tcPr>
            <w:tcW w:type="dxa" w:w="63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AES-256-GCM (optional, recommended for production)</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Backups</w:t>
            </w:r>
          </w:p>
        </w:tc>
        <w:tc>
          <w:tcPr>
            <w:tcW w:type="dxa" w:w="6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AES-256-GCM with separate backup encryption key</w:t>
            </w:r>
          </w:p>
        </w:tc>
      </w:tr>
    </w:tbl>
    <w:p>
      <w:r>
        <w:br w:type="page"/>
      </w:r>
    </w:p>
    <w:p>
      <w:pPr>
        <w:pStyle w:val="Heading1"/>
        <w:spacing w:after="200" w:before="400"/>
      </w:pPr>
      <w:r>
        <w:rPr>
          <w:rFonts w:ascii="Arial" w:cs="Arial" w:eastAsia="Arial" w:hAnsi="Arial"/>
          <w:b/>
          <w:bCs/>
          <w:color w:val="1B365D"/>
          <w:sz w:val="32"/>
          <w:szCs w:val="32"/>
        </w:rPr>
        <w:t xml:space="preserve">7. Operational Security</w:t>
      </w:r>
    </w:p>
    <w:p>
      <w:pPr>
        <w:pStyle w:val="Heading2"/>
        <w:spacing w:after="160" w:before="300"/>
      </w:pPr>
      <w:r>
        <w:rPr>
          <w:rFonts w:ascii="Arial" w:cs="Arial" w:eastAsia="Arial" w:hAnsi="Arial"/>
          <w:b/>
          <w:bCs/>
          <w:color w:val="2E75B6"/>
          <w:sz w:val="26"/>
          <w:szCs w:val="26"/>
        </w:rPr>
        <w:t xml:space="preserve">7.1 Rebuild Readiness</w:t>
      </w:r>
    </w:p>
    <w:p>
      <w:pPr>
        <w:spacing w:after="80" w:before="80"/>
      </w:pPr>
      <w:r>
        <w:rPr>
          <w:rFonts w:ascii="Arial" w:cs="Arial" w:eastAsia="Arial" w:hAnsi="Arial"/>
          <w:color w:val="2D2D2D"/>
          <w:sz w:val="21"/>
          <w:szCs w:val="21"/>
        </w:rPr>
        <w:t xml:space="preserve">Directly inspired by Microsoft’s guidance: ABF treats rebuild as an expected control, not a disaster recovery measure.</w:t>
      </w:r>
    </w:p>
    <w:p>
      <w:pPr>
        <w:pStyle w:val="ListParagraph"/>
        <w:numPr>
          <w:ilvl w:val="0"/>
          <w:numId w:val="2"/>
        </w:numPr>
        <w:spacing w:after="50" w:before="50"/>
      </w:pPr>
      <w:r>
        <w:rPr>
          <w:rFonts w:ascii="Arial" w:cs="Arial" w:eastAsia="Arial" w:hAnsi="Arial"/>
          <w:b/>
          <w:bCs/>
          <w:color w:val="2D2D2D"/>
          <w:sz w:val="21"/>
          <w:szCs w:val="21"/>
        </w:rPr>
        <w:t xml:space="preserve">Agent reset: </w:t>
      </w:r>
      <w:r>
        <w:rPr>
          <w:rFonts w:ascii="Arial" w:cs="Arial" w:eastAsia="Arial" w:hAnsi="Arial"/>
          <w:color w:val="2D2D2D"/>
          <w:sz w:val="21"/>
          <w:szCs w:val="21"/>
        </w:rPr>
        <w:t xml:space="preserve">Any agent can be reset to a clean state in seconds. Charter reloaded from definition, history cleared or rolled back to snapshot, credentials rotated, sandbox rebuilt.</w:t>
      </w:r>
    </w:p>
    <w:p>
      <w:pPr>
        <w:pStyle w:val="ListParagraph"/>
        <w:numPr>
          <w:ilvl w:val="0"/>
          <w:numId w:val="2"/>
        </w:numPr>
        <w:spacing w:after="50" w:before="50"/>
      </w:pPr>
      <w:r>
        <w:rPr>
          <w:rFonts w:ascii="Arial" w:cs="Arial" w:eastAsia="Arial" w:hAnsi="Arial"/>
          <w:b/>
          <w:bCs/>
          <w:color w:val="2D2D2D"/>
          <w:sz w:val="21"/>
          <w:szCs w:val="21"/>
        </w:rPr>
        <w:t xml:space="preserve">Full rebuild: </w:t>
      </w:r>
      <w:r>
        <w:rPr>
          <w:rFonts w:ascii="Arial" w:cs="Arial" w:eastAsia="Arial" w:hAnsi="Arial"/>
          <w:color w:val="2D2D2D"/>
          <w:sz w:val="21"/>
          <w:szCs w:val="21"/>
        </w:rPr>
        <w:t xml:space="preserve">The entire ABF instance can be rebuilt from the project’s git repository + encrypted secrets backup. Agent definitions are code. Memory snapshots are versioned. The only thing lost in a full rebuild is agent history since the last snapshot.</w:t>
      </w:r>
    </w:p>
    <w:p>
      <w:pPr>
        <w:pStyle w:val="ListParagraph"/>
        <w:numPr>
          <w:ilvl w:val="0"/>
          <w:numId w:val="2"/>
        </w:numPr>
        <w:spacing w:after="50" w:before="50"/>
      </w:pPr>
      <w:r>
        <w:rPr>
          <w:rFonts w:ascii="Arial" w:cs="Arial" w:eastAsia="Arial" w:hAnsi="Arial"/>
          <w:b/>
          <w:bCs/>
          <w:color w:val="2D2D2D"/>
          <w:sz w:val="21"/>
          <w:szCs w:val="21"/>
        </w:rPr>
        <w:t xml:space="preserve">Scheduled rebuilds: </w:t>
      </w:r>
      <w:r>
        <w:rPr>
          <w:rFonts w:ascii="Arial" w:cs="Arial" w:eastAsia="Arial" w:hAnsi="Arial"/>
          <w:color w:val="2D2D2D"/>
          <w:sz w:val="21"/>
          <w:szCs w:val="21"/>
        </w:rPr>
        <w:t xml:space="preserve">For high-security deployments, ABF supports scheduled agent rebuilds (e.g., weekly). This limits the window for memory poisoning and persistent compromise.</w:t>
      </w:r>
    </w:p>
    <w:p>
      <w:pPr>
        <w:pStyle w:val="Heading2"/>
        <w:spacing w:after="160" w:before="300"/>
      </w:pPr>
      <w:r>
        <w:rPr>
          <w:rFonts w:ascii="Arial" w:cs="Arial" w:eastAsia="Arial" w:hAnsi="Arial"/>
          <w:b/>
          <w:bCs/>
          <w:color w:val="2E75B6"/>
          <w:sz w:val="26"/>
          <w:szCs w:val="26"/>
        </w:rPr>
        <w:t xml:space="preserve">7.2 Update &amp; Patch Management</w:t>
      </w:r>
    </w:p>
    <w:p>
      <w:pPr>
        <w:pStyle w:val="ListParagraph"/>
        <w:numPr>
          <w:ilvl w:val="0"/>
          <w:numId w:val="2"/>
        </w:numPr>
        <w:spacing w:after="50" w:before="50"/>
      </w:pPr>
      <w:r>
        <w:rPr>
          <w:rFonts w:ascii="Arial" w:cs="Arial" w:eastAsia="Arial" w:hAnsi="Arial"/>
          <w:color w:val="2D2D2D"/>
          <w:sz w:val="21"/>
          <w:szCs w:val="21"/>
        </w:rPr>
        <w:t xml:space="preserve">ABF runtime updates are delivered through standard package management (npm) with signed releases.</w:t>
      </w:r>
    </w:p>
    <w:p>
      <w:pPr>
        <w:pStyle w:val="ListParagraph"/>
        <w:numPr>
          <w:ilvl w:val="0"/>
          <w:numId w:val="2"/>
        </w:numPr>
        <w:spacing w:after="50" w:before="50"/>
      </w:pPr>
      <w:r>
        <w:rPr>
          <w:rFonts w:ascii="Arial" w:cs="Arial" w:eastAsia="Arial" w:hAnsi="Arial"/>
          <w:color w:val="2D2D2D"/>
          <w:sz w:val="21"/>
          <w:szCs w:val="21"/>
        </w:rPr>
        <w:t xml:space="preserve">Tool updates from the ABF Registry are version-pinned. Updates require explicit operator approval from the Dashboard.</w:t>
      </w:r>
    </w:p>
    <w:p>
      <w:pPr>
        <w:pStyle w:val="ListParagraph"/>
        <w:numPr>
          <w:ilvl w:val="0"/>
          <w:numId w:val="2"/>
        </w:numPr>
        <w:spacing w:after="50" w:before="50"/>
      </w:pPr>
      <w:r>
        <w:rPr>
          <w:rFonts w:ascii="Arial" w:cs="Arial" w:eastAsia="Arial" w:hAnsi="Arial"/>
          <w:color w:val="2D2D2D"/>
          <w:sz w:val="21"/>
          <w:szCs w:val="21"/>
        </w:rPr>
        <w:t xml:space="preserve">MCP server updates follow the operator’s configured policy (auto-update, review-then-update, or pin-forever).</w:t>
      </w:r>
    </w:p>
    <w:p>
      <w:pPr>
        <w:pStyle w:val="ListParagraph"/>
        <w:numPr>
          <w:ilvl w:val="0"/>
          <w:numId w:val="2"/>
        </w:numPr>
        <w:spacing w:after="50" w:before="50"/>
      </w:pPr>
      <w:r>
        <w:rPr>
          <w:rFonts w:ascii="Arial" w:cs="Arial" w:eastAsia="Arial" w:hAnsi="Arial"/>
          <w:color w:val="2D2D2D"/>
          <w:sz w:val="21"/>
          <w:szCs w:val="21"/>
        </w:rPr>
        <w:t xml:space="preserve">Security patches for critical vulnerabilities are flagged in the Dashboard with one-click apply.</w:t>
      </w:r>
    </w:p>
    <w:p>
      <w:pPr>
        <w:pStyle w:val="Heading2"/>
        <w:spacing w:after="160" w:before="300"/>
      </w:pPr>
      <w:r>
        <w:rPr>
          <w:rFonts w:ascii="Arial" w:cs="Arial" w:eastAsia="Arial" w:hAnsi="Arial"/>
          <w:b/>
          <w:bCs/>
          <w:color w:val="2E75B6"/>
          <w:sz w:val="26"/>
          <w:szCs w:val="26"/>
        </w:rPr>
        <w:t xml:space="preserve">7.3 Incident Response Playbook</w:t>
      </w:r>
    </w:p>
    <w:p>
      <w:pPr>
        <w:spacing w:after="80" w:before="80"/>
      </w:pPr>
      <w:r>
        <w:rPr>
          <w:rFonts w:ascii="Arial" w:cs="Arial" w:eastAsia="Arial" w:hAnsi="Arial"/>
          <w:color w:val="2D2D2D"/>
          <w:sz w:val="21"/>
          <w:szCs w:val="21"/>
        </w:rPr>
        <w:t xml:space="preserve">ABF includes a built-in incident response workflow. When a security event is confirmed:</w:t>
      </w:r>
    </w:p>
    <w:p>
      <w:pPr>
        <w:pStyle w:val="ListParagraph"/>
        <w:numPr>
          <w:ilvl w:val="0"/>
          <w:numId w:val="3"/>
        </w:numPr>
        <w:spacing w:after="50" w:before="50"/>
      </w:pPr>
      <w:r>
        <w:rPr>
          <w:rFonts w:ascii="Arial" w:cs="Arial" w:eastAsia="Arial" w:hAnsi="Arial"/>
          <w:color w:val="2D2D2D"/>
          <w:sz w:val="21"/>
          <w:szCs w:val="21"/>
        </w:rPr>
        <w:t xml:space="preserve">Contain — Pause affected agent(s). Revoke credentials. Block suspicious tool access.</w:t>
      </w:r>
    </w:p>
    <w:p>
      <w:pPr>
        <w:pStyle w:val="ListParagraph"/>
        <w:numPr>
          <w:ilvl w:val="0"/>
          <w:numId w:val="3"/>
        </w:numPr>
        <w:spacing w:after="50" w:before="50"/>
      </w:pPr>
      <w:r>
        <w:rPr>
          <w:rFonts w:ascii="Arial" w:cs="Arial" w:eastAsia="Arial" w:hAnsi="Arial"/>
          <w:color w:val="2D2D2D"/>
          <w:sz w:val="21"/>
          <w:szCs w:val="21"/>
        </w:rPr>
        <w:t xml:space="preserve">Assess — Review audit logs. Check memory integrity. Identify scope of compromise.</w:t>
      </w:r>
    </w:p>
    <w:p>
      <w:pPr>
        <w:pStyle w:val="ListParagraph"/>
        <w:numPr>
          <w:ilvl w:val="0"/>
          <w:numId w:val="3"/>
        </w:numPr>
        <w:spacing w:after="50" w:before="50"/>
      </w:pPr>
      <w:r>
        <w:rPr>
          <w:rFonts w:ascii="Arial" w:cs="Arial" w:eastAsia="Arial" w:hAnsi="Arial"/>
          <w:color w:val="2D2D2D"/>
          <w:sz w:val="21"/>
          <w:szCs w:val="21"/>
        </w:rPr>
        <w:t xml:space="preserve">Remediate — Reset agent to clean state. Rotate all affected credentials. Patch vulnerability.</w:t>
      </w:r>
    </w:p>
    <w:p>
      <w:pPr>
        <w:pStyle w:val="ListParagraph"/>
        <w:numPr>
          <w:ilvl w:val="0"/>
          <w:numId w:val="3"/>
        </w:numPr>
        <w:spacing w:after="50" w:before="50"/>
      </w:pPr>
      <w:r>
        <w:rPr>
          <w:rFonts w:ascii="Arial" w:cs="Arial" w:eastAsia="Arial" w:hAnsi="Arial"/>
          <w:color w:val="2D2D2D"/>
          <w:sz w:val="21"/>
          <w:szCs w:val="21"/>
        </w:rPr>
        <w:t xml:space="preserve">Recover — Restore agent from known-good snapshot. Re-enable with enhanced monitoring.</w:t>
      </w:r>
    </w:p>
    <w:p>
      <w:pPr>
        <w:pStyle w:val="ListParagraph"/>
        <w:numPr>
          <w:ilvl w:val="0"/>
          <w:numId w:val="3"/>
        </w:numPr>
        <w:spacing w:after="50" w:before="50"/>
      </w:pPr>
      <w:r>
        <w:rPr>
          <w:rFonts w:ascii="Arial" w:cs="Arial" w:eastAsia="Arial" w:hAnsi="Arial"/>
          <w:color w:val="2D2D2D"/>
          <w:sz w:val="21"/>
          <w:szCs w:val="21"/>
        </w:rPr>
        <w:t xml:space="preserve">Report — Generate incident report from audit logs. Update security policies. Share learnings.</w:t>
      </w:r>
    </w:p>
    <w:p>
      <w:pPr>
        <w:spacing w:after="80" w:before="80"/>
      </w:pPr>
      <w:r>
        <w:rPr>
          <w:rFonts w:ascii="Arial" w:cs="Arial" w:eastAsia="Arial" w:hAnsi="Arial"/>
          <w:color w:val="2D2D2D"/>
          <w:sz w:val="21"/>
          <w:szCs w:val="21"/>
        </w:rPr>
        <w:t xml:space="preserve">The Dashboard guides operators through this workflow with clear actions at each step.</w:t>
      </w:r>
    </w:p>
    <w:p>
      <w:r>
        <w:br w:type="page"/>
      </w:r>
    </w:p>
    <w:p>
      <w:pPr>
        <w:pStyle w:val="Heading1"/>
        <w:spacing w:after="200" w:before="400"/>
      </w:pPr>
      <w:r>
        <w:rPr>
          <w:rFonts w:ascii="Arial" w:cs="Arial" w:eastAsia="Arial" w:hAnsi="Arial"/>
          <w:b/>
          <w:bCs/>
          <w:color w:val="1B365D"/>
          <w:sz w:val="32"/>
          <w:szCs w:val="32"/>
        </w:rPr>
        <w:t xml:space="preserve">8. Security for Non-Technical Operators</w:t>
      </w:r>
    </w:p>
    <w:p>
      <w:pPr>
        <w:spacing w:after="80" w:before="80"/>
      </w:pPr>
      <w:r>
        <w:rPr>
          <w:rFonts w:ascii="Arial" w:cs="Arial" w:eastAsia="Arial" w:hAnsi="Arial"/>
          <w:color w:val="2D2D2D"/>
          <w:sz w:val="21"/>
          <w:szCs w:val="21"/>
        </w:rPr>
        <w:t xml:space="preserve">ABF’s security must be accessible to operators who don’t have security expertise. The Dashboard handles this through:</w:t>
      </w:r>
    </w:p>
    <w:p>
      <w:pPr>
        <w:spacing w:before="100"/>
      </w:pPr>
    </w:p>
    <w:p>
      <w:pPr>
        <w:pStyle w:val="ListParagraph"/>
        <w:numPr>
          <w:ilvl w:val="0"/>
          <w:numId w:val="2"/>
        </w:numPr>
        <w:spacing w:after="50" w:before="50"/>
      </w:pPr>
      <w:r>
        <w:rPr>
          <w:rFonts w:ascii="Arial" w:cs="Arial" w:eastAsia="Arial" w:hAnsi="Arial"/>
          <w:b/>
          <w:bCs/>
          <w:color w:val="2D2D2D"/>
          <w:sz w:val="21"/>
          <w:szCs w:val="21"/>
        </w:rPr>
        <w:t xml:space="preserve">Security Score: </w:t>
      </w:r>
      <w:r>
        <w:rPr>
          <w:rFonts w:ascii="Arial" w:cs="Arial" w:eastAsia="Arial" w:hAnsi="Arial"/>
          <w:color w:val="2D2D2D"/>
          <w:sz w:val="21"/>
          <w:szCs w:val="21"/>
        </w:rPr>
        <w:t xml:space="preserve">A simple 0-100 score visible on the home screen. Factors: all agents within behavioral bounds, credentials rotated on schedule, no open anomalies, memory integrity passing, no overdue escalations. The operator sees a green/yellow/red indicator and plain-language recommendations.</w:t>
      </w:r>
    </w:p>
    <w:p>
      <w:pPr>
        <w:pStyle w:val="ListParagraph"/>
        <w:numPr>
          <w:ilvl w:val="0"/>
          <w:numId w:val="2"/>
        </w:numPr>
        <w:spacing w:after="50" w:before="50"/>
      </w:pPr>
      <w:r>
        <w:rPr>
          <w:rFonts w:ascii="Arial" w:cs="Arial" w:eastAsia="Arial" w:hAnsi="Arial"/>
          <w:b/>
          <w:bCs/>
          <w:color w:val="2D2D2D"/>
          <w:sz w:val="21"/>
          <w:szCs w:val="21"/>
        </w:rPr>
        <w:t xml:space="preserve">Guided Security Setup: </w:t>
      </w:r>
      <w:r>
        <w:rPr>
          <w:rFonts w:ascii="Arial" w:cs="Arial" w:eastAsia="Arial" w:hAnsi="Arial"/>
          <w:color w:val="2D2D2D"/>
          <w:sz w:val="21"/>
          <w:szCs w:val="21"/>
        </w:rPr>
        <w:t xml:space="preserve">The onboarding wizard includes security configuration as part of the setup flow, not a separate step. “How sensitive is your business data?” → ABF configures appropriate encryption, monitoring, and containment policies.</w:t>
      </w:r>
    </w:p>
    <w:p>
      <w:pPr>
        <w:pStyle w:val="ListParagraph"/>
        <w:numPr>
          <w:ilvl w:val="0"/>
          <w:numId w:val="2"/>
        </w:numPr>
        <w:spacing w:after="50" w:before="50"/>
      </w:pPr>
      <w:r>
        <w:rPr>
          <w:rFonts w:ascii="Arial" w:cs="Arial" w:eastAsia="Arial" w:hAnsi="Arial"/>
          <w:b/>
          <w:bCs/>
          <w:color w:val="2D2D2D"/>
          <w:sz w:val="21"/>
          <w:szCs w:val="21"/>
        </w:rPr>
        <w:t xml:space="preserve">Plain-Language Alerts: </w:t>
      </w:r>
      <w:r>
        <w:rPr>
          <w:rFonts w:ascii="Arial" w:cs="Arial" w:eastAsia="Arial" w:hAnsi="Arial"/>
          <w:color w:val="2D2D2D"/>
          <w:sz w:val="21"/>
          <w:szCs w:val="21"/>
        </w:rPr>
        <w:t xml:space="preserve">“Your Sales agent tried to access billing data it normally doesn’t use. We’ve paused it until you review.” Not: “Anomaly detected: agent ‘hunter’ attempted tool invocation outside behavioral_bounds.allowed_actions scope.”</w:t>
      </w:r>
    </w:p>
    <w:p>
      <w:pPr>
        <w:pStyle w:val="ListParagraph"/>
        <w:numPr>
          <w:ilvl w:val="0"/>
          <w:numId w:val="2"/>
        </w:numPr>
        <w:spacing w:after="50" w:before="50"/>
      </w:pPr>
      <w:r>
        <w:rPr>
          <w:rFonts w:ascii="Arial" w:cs="Arial" w:eastAsia="Arial" w:hAnsi="Arial"/>
          <w:b/>
          <w:bCs/>
          <w:color w:val="2D2D2D"/>
          <w:sz w:val="21"/>
          <w:szCs w:val="21"/>
        </w:rPr>
        <w:t xml:space="preserve">One-Click Actions: </w:t>
      </w:r>
      <w:r>
        <w:rPr>
          <w:rFonts w:ascii="Arial" w:cs="Arial" w:eastAsia="Arial" w:hAnsi="Arial"/>
          <w:color w:val="2D2D2D"/>
          <w:sz w:val="21"/>
          <w:szCs w:val="21"/>
        </w:rPr>
        <w:t xml:space="preserve">Every security control is a single button press: Pause Agent, Revoke Access, Reset Agent, Roll Back Memory, View Full Audit Log.</w:t>
      </w:r>
    </w:p>
    <w:p>
      <w:pPr>
        <w:pStyle w:val="ListParagraph"/>
        <w:numPr>
          <w:ilvl w:val="0"/>
          <w:numId w:val="2"/>
        </w:numPr>
        <w:spacing w:after="50" w:before="50"/>
      </w:pPr>
      <w:r>
        <w:rPr>
          <w:rFonts w:ascii="Arial" w:cs="Arial" w:eastAsia="Arial" w:hAnsi="Arial"/>
          <w:b/>
          <w:bCs/>
          <w:color w:val="2D2D2D"/>
          <w:sz w:val="21"/>
          <w:szCs w:val="21"/>
        </w:rPr>
        <w:t xml:space="preserve">Secure by Default: </w:t>
      </w:r>
      <w:r>
        <w:rPr>
          <w:rFonts w:ascii="Arial" w:cs="Arial" w:eastAsia="Arial" w:hAnsi="Arial"/>
          <w:color w:val="2D2D2D"/>
          <w:sz w:val="21"/>
          <w:szCs w:val="21"/>
        </w:rPr>
        <w:t xml:space="preserve">ABF ships with security controls ON. Sandboxing, memory checksums, behavioral bounds, audit logging, credential encryption — all active out of the box. Operators don’t need to “enable security.” It’s the baseline.</w:t>
      </w:r>
    </w:p>
    <w:p>
      <w:r>
        <w:br w:type="page"/>
      </w:r>
    </w:p>
    <w:p>
      <w:pPr>
        <w:pStyle w:val="Heading1"/>
        <w:spacing w:after="200" w:before="400"/>
      </w:pPr>
      <w:r>
        <w:rPr>
          <w:rFonts w:ascii="Arial" w:cs="Arial" w:eastAsia="Arial" w:hAnsi="Arial"/>
          <w:b/>
          <w:bCs/>
          <w:color w:val="1B365D"/>
          <w:sz w:val="32"/>
          <w:szCs w:val="32"/>
        </w:rPr>
        <w:t xml:space="preserve">9. ABF vs. Unsecured Agent Runtimes</w:t>
      </w:r>
    </w:p>
    <w:p>
      <w:pPr>
        <w:spacing w:after="80" w:before="80"/>
      </w:pPr>
      <w:r>
        <w:rPr>
          <w:rFonts w:ascii="Arial" w:cs="Arial" w:eastAsia="Arial" w:hAnsi="Arial"/>
          <w:color w:val="2D2D2D"/>
          <w:sz w:val="21"/>
          <w:szCs w:val="21"/>
        </w:rPr>
        <w:t xml:space="preserve">This comparison maps ABF’s security model against the vulnerabilities identified by Microsoft’s Defender team and TrustClaw’s analysis of vanilla OpenClaw:</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Risk Vector</w:t>
            </w:r>
          </w:p>
        </w:tc>
        <w:tc>
          <w:tcPr>
            <w:tcW w:type="dxa" w:w="3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Unsecured Agent Runtime</w:t>
            </w:r>
          </w:p>
        </w:tc>
        <w:tc>
          <w:tcPr>
            <w:tcW w:type="dxa" w:w="45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ABF</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Credentials</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Plaintext in local config. Agent inherits user’s full permissions.</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Encrypted vault. Per-agent scoped OAuth tokens. Never in agent memory or logs.</w:t>
            </w:r>
          </w:p>
        </w:tc>
      </w:tr>
      <w:tr>
        <w:tc>
          <w:tcPr>
            <w:tcW w:type="dxa" w:w="16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Code execution</w:t>
            </w:r>
          </w:p>
        </w:tc>
        <w:tc>
          <w:tcPr>
            <w:tcW w:type="dxa" w:w="3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Agent runs on host with user privileges. Can spawn shells, install packages.</w:t>
            </w:r>
          </w:p>
        </w:tc>
        <w:tc>
          <w:tcPr>
            <w:tcW w:type="dxa" w:w="45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All execution sandboxed. No shell access. No arbitrary code. Tools pre-declared.</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Tool installation</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Agent discovers and installs tools from public registries at runtime.</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Locked tool surface. Operator-approved only. Managed registry with signed tools.</w:t>
            </w:r>
          </w:p>
        </w:tc>
      </w:tr>
      <w:tr>
        <w:tc>
          <w:tcPr>
            <w:tcW w:type="dxa" w:w="16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Memory manipulation</w:t>
            </w:r>
          </w:p>
        </w:tc>
        <w:tc>
          <w:tcPr>
            <w:tcW w:type="dxa" w:w="3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Agent state modifiable by injected instructions. Persists across sessions.</w:t>
            </w:r>
          </w:p>
        </w:tc>
        <w:tc>
          <w:tcPr>
            <w:tcW w:type="dxa" w:w="45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Append-only history. Checksums. Anomaly detection. Snapshot rollback.</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Prompt injection</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No input sanitization. External content treated same as instructions.</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Source tagging. Content isolation. Injection detection. Behavioral bounds enforcement.</w:t>
            </w:r>
          </w:p>
        </w:tc>
      </w:tr>
      <w:tr>
        <w:tc>
          <w:tcPr>
            <w:tcW w:type="dxa" w:w="16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Network access</w:t>
            </w:r>
          </w:p>
        </w:tc>
        <w:tc>
          <w:tcPr>
            <w:tcW w:type="dxa" w:w="3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Full internet access from agent process.</w:t>
            </w:r>
          </w:p>
        </w:tc>
        <w:tc>
          <w:tcPr>
            <w:tcW w:type="dxa" w:w="45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Allowlist-only egress per sandbox. DNS filtering. No inbound connections.</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Audit trail</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No logging. No visibility into agent actions.</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Every action logged. Immutable audit trail. Security dashboard. Auto-alerting.</w:t>
            </w:r>
          </w:p>
        </w:tc>
      </w:tr>
      <w:tr>
        <w:tc>
          <w:tcPr>
            <w:tcW w:type="dxa" w:w="16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Incident response</w:t>
            </w:r>
          </w:p>
        </w:tc>
        <w:tc>
          <w:tcPr>
            <w:tcW w:type="dxa" w:w="3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Manual investigation. No rollback capability.</w:t>
            </w:r>
          </w:p>
        </w:tc>
        <w:tc>
          <w:tcPr>
            <w:tcW w:type="dxa" w:w="45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Built-in IR workflow. One-click containment. Snapshot rollback. Guided remediation.</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Non-technical UX</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CLI-only. Security requires manual config.</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Dashboard with security score, plain-language alerts, one-click controls. Secure by default.</w:t>
            </w:r>
          </w:p>
        </w:tc>
      </w:tr>
    </w:tbl>
    <w:p>
      <w:r>
        <w:br w:type="page"/>
      </w:r>
    </w:p>
    <w:p>
      <w:pPr>
        <w:pStyle w:val="Heading1"/>
        <w:spacing w:after="200" w:before="400"/>
      </w:pPr>
      <w:r>
        <w:rPr>
          <w:rFonts w:ascii="Arial" w:cs="Arial" w:eastAsia="Arial" w:hAnsi="Arial"/>
          <w:b/>
          <w:bCs/>
          <w:color w:val="1B365D"/>
          <w:sz w:val="32"/>
          <w:szCs w:val="32"/>
        </w:rPr>
        <w:t xml:space="preserve">10. Security Architecture Summary</w:t>
      </w:r>
    </w:p>
    <w:p>
      <w:pPr>
        <w:spacing w:after="80" w:before="80"/>
      </w:pPr>
      <w:r>
        <w:rPr>
          <w:rFonts w:ascii="Arial" w:cs="Arial" w:eastAsia="Arial" w:hAnsi="Arial"/>
          <w:color w:val="2D2D2D"/>
          <w:sz w:val="21"/>
          <w:szCs w:val="21"/>
        </w:rPr>
        <w:t xml:space="preserve">ABF’s security model is built on a simple premise: agents will eventually encounter adversarial input, and the system must contain the damage when they do.</w:t>
      </w:r>
    </w:p>
    <w:p>
      <w:pPr>
        <w:spacing w:before="100"/>
      </w:pPr>
    </w:p>
    <w:p>
      <w:pPr>
        <w:spacing w:after="80" w:before="80"/>
      </w:pPr>
      <w:r>
        <w:rPr>
          <w:rFonts w:ascii="Arial" w:cs="Arial" w:eastAsia="Arial" w:hAnsi="Arial"/>
          <w:color w:val="2D2D2D"/>
          <w:sz w:val="21"/>
          <w:szCs w:val="21"/>
        </w:rPr>
        <w:t xml:space="preserve">The six pillars:</w:t>
      </w:r>
    </w:p>
    <w:p>
      <w:pPr>
        <w:pStyle w:val="ListParagraph"/>
        <w:numPr>
          <w:ilvl w:val="0"/>
          <w:numId w:val="2"/>
        </w:numPr>
        <w:spacing w:after="50" w:before="50"/>
      </w:pPr>
      <w:r>
        <w:rPr>
          <w:rFonts w:ascii="Arial" w:cs="Arial" w:eastAsia="Arial" w:hAnsi="Arial"/>
          <w:b/>
          <w:bCs/>
          <w:color w:val="2D2D2D"/>
          <w:sz w:val="21"/>
          <w:szCs w:val="21"/>
        </w:rPr>
        <w:t xml:space="preserve">1. Least Privilege — </w:t>
      </w:r>
      <w:r>
        <w:rPr>
          <w:rFonts w:ascii="Arial" w:cs="Arial" w:eastAsia="Arial" w:hAnsi="Arial"/>
          <w:color w:val="2D2D2D"/>
          <w:sz w:val="21"/>
          <w:szCs w:val="21"/>
        </w:rPr>
        <w:t xml:space="preserve">Every agent starts with zero permissions. Access is explicitly granted and individually scoped.</w:t>
      </w:r>
    </w:p>
    <w:p>
      <w:pPr>
        <w:pStyle w:val="ListParagraph"/>
        <w:numPr>
          <w:ilvl w:val="0"/>
          <w:numId w:val="2"/>
        </w:numPr>
        <w:spacing w:after="50" w:before="50"/>
      </w:pPr>
      <w:r>
        <w:rPr>
          <w:rFonts w:ascii="Arial" w:cs="Arial" w:eastAsia="Arial" w:hAnsi="Arial"/>
          <w:b/>
          <w:bCs/>
          <w:color w:val="2D2D2D"/>
          <w:sz w:val="21"/>
          <w:szCs w:val="21"/>
        </w:rPr>
        <w:t xml:space="preserve">2. OAuth-Only — </w:t>
      </w:r>
      <w:r>
        <w:rPr>
          <w:rFonts w:ascii="Arial" w:cs="Arial" w:eastAsia="Arial" w:hAnsi="Arial"/>
          <w:color w:val="2D2D2D"/>
          <w:sz w:val="21"/>
          <w:szCs w:val="21"/>
        </w:rPr>
        <w:t xml:space="preserve">No raw credentials. Scoped tokens. Automatic rotation. One-click revocation.</w:t>
      </w:r>
    </w:p>
    <w:p>
      <w:pPr>
        <w:pStyle w:val="ListParagraph"/>
        <w:numPr>
          <w:ilvl w:val="0"/>
          <w:numId w:val="2"/>
        </w:numPr>
        <w:spacing w:after="50" w:before="50"/>
      </w:pPr>
      <w:r>
        <w:rPr>
          <w:rFonts w:ascii="Arial" w:cs="Arial" w:eastAsia="Arial" w:hAnsi="Arial"/>
          <w:b/>
          <w:bCs/>
          <w:color w:val="2D2D2D"/>
          <w:sz w:val="21"/>
          <w:szCs w:val="21"/>
        </w:rPr>
        <w:t xml:space="preserve">3. Sandboxed Execution — </w:t>
      </w:r>
      <w:r>
        <w:rPr>
          <w:rFonts w:ascii="Arial" w:cs="Arial" w:eastAsia="Arial" w:hAnsi="Arial"/>
          <w:color w:val="2D2D2D"/>
          <w:sz w:val="21"/>
          <w:szCs w:val="21"/>
        </w:rPr>
        <w:t xml:space="preserve">Every tool call runs in isolation. No shell, no eval, no persistent state in sandbox.</w:t>
      </w:r>
    </w:p>
    <w:p>
      <w:pPr>
        <w:pStyle w:val="ListParagraph"/>
        <w:numPr>
          <w:ilvl w:val="0"/>
          <w:numId w:val="2"/>
        </w:numPr>
        <w:spacing w:after="50" w:before="50"/>
      </w:pPr>
      <w:r>
        <w:rPr>
          <w:rFonts w:ascii="Arial" w:cs="Arial" w:eastAsia="Arial" w:hAnsi="Arial"/>
          <w:b/>
          <w:bCs/>
          <w:color w:val="2D2D2D"/>
          <w:sz w:val="21"/>
          <w:szCs w:val="21"/>
        </w:rPr>
        <w:t xml:space="preserve">4. Managed Tools — </w:t>
      </w:r>
      <w:r>
        <w:rPr>
          <w:rFonts w:ascii="Arial" w:cs="Arial" w:eastAsia="Arial" w:hAnsi="Arial"/>
          <w:color w:val="2D2D2D"/>
          <w:sz w:val="21"/>
          <w:szCs w:val="21"/>
        </w:rPr>
        <w:t xml:space="preserve">Locked tool surface. Operator-approved only. No runtime tool installation.</w:t>
      </w:r>
    </w:p>
    <w:p>
      <w:pPr>
        <w:pStyle w:val="ListParagraph"/>
        <w:numPr>
          <w:ilvl w:val="0"/>
          <w:numId w:val="2"/>
        </w:numPr>
        <w:spacing w:after="50" w:before="50"/>
      </w:pPr>
      <w:r>
        <w:rPr>
          <w:rFonts w:ascii="Arial" w:cs="Arial" w:eastAsia="Arial" w:hAnsi="Arial"/>
          <w:b/>
          <w:bCs/>
          <w:color w:val="2D2D2D"/>
          <w:sz w:val="21"/>
          <w:szCs w:val="21"/>
        </w:rPr>
        <w:t xml:space="preserve">5. Memory Integrity — </w:t>
      </w:r>
      <w:r>
        <w:rPr>
          <w:rFonts w:ascii="Arial" w:cs="Arial" w:eastAsia="Arial" w:hAnsi="Arial"/>
          <w:color w:val="2D2D2D"/>
          <w:sz w:val="21"/>
          <w:szCs w:val="21"/>
        </w:rPr>
        <w:t xml:space="preserve">Append-only. Checksums. Anomaly detection. Snapshot rollback.</w:t>
      </w:r>
    </w:p>
    <w:p>
      <w:pPr>
        <w:pStyle w:val="ListParagraph"/>
        <w:numPr>
          <w:ilvl w:val="0"/>
          <w:numId w:val="2"/>
        </w:numPr>
        <w:spacing w:after="50" w:before="50"/>
      </w:pPr>
      <w:r>
        <w:rPr>
          <w:rFonts w:ascii="Arial" w:cs="Arial" w:eastAsia="Arial" w:hAnsi="Arial"/>
          <w:b/>
          <w:bCs/>
          <w:color w:val="2D2D2D"/>
          <w:sz w:val="21"/>
          <w:szCs w:val="21"/>
        </w:rPr>
        <w:t xml:space="preserve">6. Containment First — </w:t>
      </w:r>
      <w:r>
        <w:rPr>
          <w:rFonts w:ascii="Arial" w:cs="Arial" w:eastAsia="Arial" w:hAnsi="Arial"/>
          <w:color w:val="2D2D2D"/>
          <w:sz w:val="21"/>
          <w:szCs w:val="21"/>
        </w:rPr>
        <w:t xml:space="preserve">Assume compromise. Isolate blast radius. One-click containment. Rapid rebuild.</w:t>
      </w:r>
    </w:p>
    <w:p>
      <w:pPr>
        <w:spacing w:before="200"/>
      </w:pPr>
    </w:p>
    <w:p>
      <w:pPr>
        <w:spacing w:after="80" w:before="80"/>
      </w:pPr>
      <w:r>
        <w:rPr>
          <w:rFonts w:ascii="Arial" w:cs="Arial" w:eastAsia="Arial" w:hAnsi="Arial"/>
          <w:color w:val="2D2D2D"/>
          <w:sz w:val="21"/>
          <w:szCs w:val="21"/>
        </w:rPr>
        <w:t xml:space="preserve">Security is not a feature in ABF. It is the foundation the entire framework is built on. An operator who has never thought about cybersecurity should be protected by default. A builder who needs enterprise-grade controls should find them already implemented.</w:t>
      </w:r>
    </w:p>
    <w:p>
      <w:pPr>
        <w:spacing w:after="80" w:before="80"/>
      </w:pPr>
      <w:r>
        <w:rPr>
          <w:rFonts w:ascii="Arial" w:cs="Arial" w:eastAsia="Arial" w:hAnsi="Arial"/>
          <w:color w:val="2D2D2D"/>
          <w:sz w:val="21"/>
          <w:szCs w:val="21"/>
        </w:rPr>
        <w:t xml:space="preserve">ABF aims to be the first agentic business framework where security is a competitive advantage, not a liability.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2026-02-24T07:55:17.767Z</dcterms:created>
  <dcterms:modified xsi:type="dcterms:W3CDTF">2026-02-24T07:55:17.768Z</dcterms:modified>
</cp:coreProperties>
</file>

<file path=docProps/custom.xml><?xml version="1.0" encoding="utf-8"?>
<Properties xmlns="http://schemas.openxmlformats.org/officeDocument/2006/custom-properties" xmlns:vt="http://schemas.openxmlformats.org/officeDocument/2006/docPropsVTypes"/>
</file>