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С 2025 года действует прогрессивная шкала: 13% — с дохода до 2,4 млн руб., 15% — от 2,4 до 5 млн, 18% — от 5 до 20 млн, 20% — от 20 до 50 млн, 22% — свыше 50 млн. Доход уменьшается «сверху», поэтому возврат считается сначала по самой высокой из ваших ставок.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19 500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