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B1055" w14:textId="77777777" w:rsidR="00171445" w:rsidRPr="00171445" w:rsidRDefault="00171445" w:rsidP="00171445">
      <w:pPr>
        <w:pStyle w:val="Ttulo1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CLINICAPORELMUNDO: LA IMPORTANCIA DE LA ACCESIBILIDAD</w:t>
      </w:r>
    </w:p>
    <w:p w14:paraId="01DE38A4" w14:textId="77777777" w:rsidR="00171445" w:rsidRDefault="00171445" w:rsidP="00171445">
      <w:pPr>
        <w:spacing w:after="240"/>
      </w:pPr>
    </w:p>
    <w:p w14:paraId="452FA20D" w14:textId="77777777" w:rsidR="00171445" w:rsidRPr="00171445" w:rsidRDefault="00171445" w:rsidP="00171445">
      <w:pPr>
        <w:pStyle w:val="Ttulo2"/>
        <w:spacing w:after="240"/>
        <w:ind w:left="3540" w:hanging="35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INTRODUCCIÓN</w:t>
      </w:r>
    </w:p>
    <w:p w14:paraId="4F68A896" w14:textId="77777777" w:rsidR="00171445" w:rsidRPr="00951A82" w:rsidRDefault="00171445" w:rsidP="00171445">
      <w:pPr>
        <w:spacing w:after="240"/>
        <w:rPr>
          <w:sz w:val="24"/>
          <w:szCs w:val="24"/>
        </w:rPr>
      </w:pPr>
      <w:r w:rsidRPr="00951A82">
        <w:rPr>
          <w:sz w:val="24"/>
          <w:szCs w:val="24"/>
        </w:rPr>
        <w:t xml:space="preserve">Esto es un documento de </w:t>
      </w:r>
      <w:proofErr w:type="spellStart"/>
      <w:r w:rsidRPr="00951A82">
        <w:rPr>
          <w:sz w:val="24"/>
          <w:szCs w:val="24"/>
        </w:rPr>
        <w:t>ClinicaPorElMundo</w:t>
      </w:r>
      <w:proofErr w:type="spellEnd"/>
      <w:r w:rsidRPr="00951A82">
        <w:rPr>
          <w:sz w:val="24"/>
          <w:szCs w:val="24"/>
        </w:rPr>
        <w:t>, con el objetivo de demostrar la accesibilidad de esta web y su disponibilidad a todos los usuarios.</w:t>
      </w:r>
    </w:p>
    <w:p w14:paraId="7D18677E" w14:textId="77777777" w:rsidR="00171445" w:rsidRDefault="00171445" w:rsidP="00171445">
      <w:pPr>
        <w:spacing w:after="240"/>
        <w:rPr>
          <w:sz w:val="24"/>
          <w:szCs w:val="24"/>
        </w:rPr>
      </w:pPr>
      <w:r>
        <w:rPr>
          <w:sz w:val="24"/>
          <w:szCs w:val="24"/>
        </w:rPr>
        <w:t>Como bien resume la siguiente cita:</w:t>
      </w:r>
    </w:p>
    <w:p w14:paraId="2C474748" w14:textId="77777777" w:rsidR="00171445" w:rsidRPr="002A0BA9" w:rsidRDefault="00171445" w:rsidP="00171445">
      <w:pPr>
        <w:spacing w:after="240"/>
        <w:ind w:left="708"/>
        <w:rPr>
          <w:sz w:val="24"/>
          <w:szCs w:val="24"/>
          <w:lang w:val="en-US"/>
        </w:rPr>
      </w:pPr>
      <w:r w:rsidRPr="0014480D">
        <w:rPr>
          <w:b/>
          <w:bCs/>
          <w:sz w:val="24"/>
          <w:szCs w:val="24"/>
          <w:lang w:val="en-US"/>
        </w:rPr>
        <w:t>"</w:t>
      </w:r>
      <w:proofErr w:type="spellStart"/>
      <w:r w:rsidRPr="00171445">
        <w:rPr>
          <w:b/>
          <w:bCs/>
          <w:sz w:val="24"/>
          <w:szCs w:val="24"/>
        </w:rPr>
        <w:t>The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only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limit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to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what</w:t>
      </w:r>
      <w:proofErr w:type="spellEnd"/>
      <w:r w:rsidRPr="00171445">
        <w:rPr>
          <w:b/>
          <w:bCs/>
          <w:sz w:val="24"/>
          <w:szCs w:val="24"/>
        </w:rPr>
        <w:t xml:space="preserve"> a </w:t>
      </w:r>
      <w:proofErr w:type="spellStart"/>
      <w:r w:rsidRPr="00171445">
        <w:rPr>
          <w:b/>
          <w:bCs/>
          <w:sz w:val="24"/>
          <w:szCs w:val="24"/>
        </w:rPr>
        <w:t>person</w:t>
      </w:r>
      <w:proofErr w:type="spellEnd"/>
      <w:r w:rsidRPr="00171445">
        <w:rPr>
          <w:b/>
          <w:bCs/>
          <w:sz w:val="24"/>
          <w:szCs w:val="24"/>
        </w:rPr>
        <w:t xml:space="preserve"> can do </w:t>
      </w:r>
      <w:proofErr w:type="spellStart"/>
      <w:r w:rsidRPr="00171445">
        <w:rPr>
          <w:b/>
          <w:bCs/>
          <w:sz w:val="24"/>
          <w:szCs w:val="24"/>
        </w:rPr>
        <w:t>with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technology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is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the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limits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of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the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technology</w:t>
      </w:r>
      <w:proofErr w:type="spellEnd"/>
      <w:r w:rsidRPr="00171445">
        <w:rPr>
          <w:b/>
          <w:bCs/>
          <w:sz w:val="24"/>
          <w:szCs w:val="24"/>
        </w:rPr>
        <w:t xml:space="preserve"> </w:t>
      </w:r>
      <w:proofErr w:type="spellStart"/>
      <w:r w:rsidRPr="00171445">
        <w:rPr>
          <w:b/>
          <w:bCs/>
          <w:sz w:val="24"/>
          <w:szCs w:val="24"/>
        </w:rPr>
        <w:t>itself</w:t>
      </w:r>
      <w:proofErr w:type="spellEnd"/>
      <w:r w:rsidRPr="0014480D">
        <w:rPr>
          <w:b/>
          <w:bCs/>
          <w:sz w:val="24"/>
          <w:szCs w:val="24"/>
          <w:lang w:val="en-US"/>
        </w:rPr>
        <w:t>."</w:t>
      </w:r>
    </w:p>
    <w:p w14:paraId="45866E65" w14:textId="77777777" w:rsidR="00171445" w:rsidRPr="00951A82" w:rsidRDefault="00171445" w:rsidP="00171445">
      <w:pPr>
        <w:spacing w:after="240"/>
        <w:rPr>
          <w:sz w:val="24"/>
          <w:szCs w:val="24"/>
        </w:rPr>
      </w:pPr>
      <w:r w:rsidRPr="00951A82">
        <w:rPr>
          <w:sz w:val="24"/>
          <w:szCs w:val="24"/>
        </w:rPr>
        <w:t>La usabilidad y la accesibilidad son dos pilares fundamentales en el desarrollo de recursos digitales de salud.</w:t>
      </w:r>
      <w:r w:rsidRPr="00951A82">
        <w:rPr>
          <w:sz w:val="24"/>
          <w:szCs w:val="24"/>
        </w:rPr>
        <w:br/>
        <w:t>Un sistema sanitario digital accesible permite que todas las personas —incluidas aquellas con discapacidades visuales, auditivas, cognitivas o motoras— puedan acceder a la información médica, pedir citas o consultar resultados sin barreras.</w:t>
      </w:r>
    </w:p>
    <w:p w14:paraId="5145FF58" w14:textId="77777777" w:rsidR="00171445" w:rsidRPr="00046290" w:rsidRDefault="00171445" w:rsidP="00171445">
      <w:pPr>
        <w:spacing w:after="240"/>
        <w:rPr>
          <w:sz w:val="24"/>
          <w:szCs w:val="24"/>
        </w:rPr>
      </w:pPr>
      <w:r w:rsidRPr="00951A82">
        <w:rPr>
          <w:sz w:val="24"/>
          <w:szCs w:val="24"/>
        </w:rPr>
        <w:t>La accesibilidad beneficia a todos, ya que mejora la claridad, la estructura y la experiencia de usuario.</w:t>
      </w:r>
      <w:r>
        <w:rPr>
          <w:sz w:val="24"/>
          <w:szCs w:val="24"/>
        </w:rPr>
        <w:t xml:space="preserve"> </w:t>
      </w:r>
    </w:p>
    <w:p w14:paraId="0561A6F8" w14:textId="77777777" w:rsidR="00171445" w:rsidRPr="00171445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BENEFICIOS DE LA ACCESIBILIDAD EN LA SALUD</w:t>
      </w:r>
    </w:p>
    <w:p w14:paraId="0E4F1CF6" w14:textId="77777777" w:rsidR="00171445" w:rsidRDefault="00171445" w:rsidP="00171445">
      <w:pPr>
        <w:spacing w:after="240"/>
      </w:pPr>
      <w:r>
        <w:t>Los principales beneficios de aplicar criterios de accesibilidad en entornos sanitarios:</w:t>
      </w:r>
    </w:p>
    <w:p w14:paraId="0C16CAEF" w14:textId="77777777" w:rsidR="00171445" w:rsidRDefault="00171445" w:rsidP="00171445">
      <w:pPr>
        <w:spacing w:after="240"/>
      </w:pPr>
      <w:r>
        <w:t>Facilita el acceso a información médica crítica.</w:t>
      </w:r>
    </w:p>
    <w:p w14:paraId="6173E3D3" w14:textId="77777777" w:rsidR="00171445" w:rsidRDefault="00171445" w:rsidP="00171445">
      <w:pPr>
        <w:spacing w:after="240"/>
      </w:pPr>
      <w:r>
        <w:t>Mejora la experiencia de pacientes mayores o con limitaciones.</w:t>
      </w:r>
    </w:p>
    <w:p w14:paraId="35F80DEA" w14:textId="77777777" w:rsidR="00171445" w:rsidRDefault="00171445" w:rsidP="00171445">
      <w:pPr>
        <w:spacing w:after="240"/>
      </w:pPr>
      <w:r>
        <w:t>Reduce errores al usar aplicaciones o portales médicos.</w:t>
      </w:r>
    </w:p>
    <w:p w14:paraId="083A91F1" w14:textId="77777777" w:rsidR="00171445" w:rsidRDefault="00171445" w:rsidP="00171445">
      <w:pPr>
        <w:spacing w:after="240"/>
      </w:pPr>
      <w:r>
        <w:t xml:space="preserve">Cumple con la normativa europea de accesibilidad digital.  </w:t>
      </w:r>
    </w:p>
    <w:p w14:paraId="49FD8C6A" w14:textId="77777777" w:rsidR="00171445" w:rsidRPr="00171445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GRÁFICA SOBRE USO DE APPS SANITARIAS</w:t>
      </w:r>
    </w:p>
    <w:p w14:paraId="1F008B63" w14:textId="77777777" w:rsidR="00171445" w:rsidRDefault="00171445" w:rsidP="00171445">
      <w:pPr>
        <w:spacing w:after="240"/>
      </w:pPr>
      <w:r>
        <w:t xml:space="preserve">Gráfica que muestra las aplicaciones </w:t>
      </w:r>
      <w:r w:rsidRPr="008D44C1">
        <w:t>más usad</w:t>
      </w:r>
      <w:r>
        <w:t>as</w:t>
      </w:r>
      <w:r w:rsidRPr="008D44C1">
        <w:t xml:space="preserve"> en todos los grupos</w:t>
      </w:r>
      <w:r>
        <w:t xml:space="preserve"> sanitarios</w:t>
      </w:r>
      <w:r w:rsidRPr="008D44C1">
        <w:t xml:space="preserve">. </w:t>
      </w:r>
      <w:r w:rsidRPr="00196D55">
        <w:t xml:space="preserve">La historia clínica móvil es la </w:t>
      </w:r>
      <w:proofErr w:type="gramStart"/>
      <w:r w:rsidRPr="00196D55">
        <w:t>app</w:t>
      </w:r>
      <w:proofErr w:type="gramEnd"/>
      <w:r w:rsidRPr="00196D55">
        <w:t xml:space="preserve"> más usada en todos los grupos. Médicos presentan el mayor uso (80%), seguido de enfermería (70%) y administrativos (10%). La </w:t>
      </w:r>
      <w:proofErr w:type="spellStart"/>
      <w:r w:rsidRPr="00196D55">
        <w:t>teleconsulta</w:t>
      </w:r>
      <w:proofErr w:type="spellEnd"/>
      <w:r w:rsidRPr="00196D55">
        <w:t xml:space="preserve"> tiene un uso elevado en médicos (65%) pero bajo en administrativos (20%). </w:t>
      </w:r>
      <w:r w:rsidRPr="00196D55">
        <w:lastRenderedPageBreak/>
        <w:t xml:space="preserve">Comunicación interna es alta en médicos (72%) y moderada en enfermería (60%). Implicación: formación focalizada en administrativos para </w:t>
      </w:r>
      <w:proofErr w:type="spellStart"/>
      <w:r w:rsidRPr="00196D55">
        <w:t>teleconsulta</w:t>
      </w:r>
      <w:proofErr w:type="spellEnd"/>
      <w:r w:rsidRPr="00196D55">
        <w:t>.”</w:t>
      </w:r>
    </w:p>
    <w:p w14:paraId="72F01660" w14:textId="13691E31" w:rsidR="00171445" w:rsidRDefault="00171445" w:rsidP="00171445">
      <w:pPr>
        <w:spacing w:after="240"/>
      </w:pPr>
      <w:r>
        <w:rPr>
          <w:noProof/>
        </w:rPr>
        <w:drawing>
          <wp:inline distT="0" distB="0" distL="0" distR="0" wp14:anchorId="739D026E" wp14:editId="1A37F3CC">
            <wp:extent cx="5400040" cy="3150235"/>
            <wp:effectExtent l="0" t="0" r="10160" b="12065"/>
            <wp:docPr id="1633865749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F9750AA" w14:textId="77777777" w:rsidR="00171445" w:rsidRDefault="00171445" w:rsidP="00171445">
      <w:pPr>
        <w:spacing w:after="240"/>
      </w:pPr>
      <w:r>
        <w:t>Formas para distinguir los colores:</w:t>
      </w:r>
    </w:p>
    <w:p w14:paraId="6AFE8A42" w14:textId="77777777" w:rsidR="00171445" w:rsidRDefault="00171445" w:rsidP="00171445">
      <w:pPr>
        <w:spacing w:after="240"/>
      </w:pPr>
      <w:r>
        <w:t xml:space="preserve">Triángulo: </w:t>
      </w:r>
      <w:proofErr w:type="spellStart"/>
      <w:r>
        <w:t>teleconsulta</w:t>
      </w:r>
      <w:proofErr w:type="spellEnd"/>
    </w:p>
    <w:p w14:paraId="420AF399" w14:textId="77777777" w:rsidR="00171445" w:rsidRDefault="00171445" w:rsidP="00171445">
      <w:pPr>
        <w:spacing w:after="240"/>
      </w:pPr>
      <w:r>
        <w:t>Círculo: Historia clínica</w:t>
      </w:r>
    </w:p>
    <w:p w14:paraId="39300488" w14:textId="77777777" w:rsidR="00171445" w:rsidRDefault="00171445" w:rsidP="00171445">
      <w:pPr>
        <w:spacing w:after="240"/>
      </w:pPr>
      <w:r>
        <w:t>Cuadrado: Comunicación</w:t>
      </w:r>
    </w:p>
    <w:p w14:paraId="022AA7FB" w14:textId="77777777" w:rsidR="00171445" w:rsidRDefault="00171445" w:rsidP="00171445">
      <w:pPr>
        <w:spacing w:after="240"/>
      </w:pPr>
    </w:p>
    <w:p w14:paraId="397B021B" w14:textId="77777777" w:rsidR="00171445" w:rsidRPr="008B07A6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IMÁGENES ACCESIBLES</w:t>
      </w:r>
    </w:p>
    <w:p w14:paraId="3F0C88F2" w14:textId="77777777" w:rsidR="00171445" w:rsidRPr="00135D28" w:rsidRDefault="00171445" w:rsidP="00171445">
      <w:r>
        <w:t xml:space="preserve">Es importante mantener la accesibilidad en todos los apartados que pueda encontrar un usuario. </w:t>
      </w:r>
    </w:p>
    <w:p w14:paraId="5EEE932A" w14:textId="77777777" w:rsidR="00171445" w:rsidRDefault="00171445" w:rsidP="00171445">
      <w:pPr>
        <w:pStyle w:val="Ttulo2"/>
        <w:spacing w:after="240"/>
      </w:pPr>
      <w:r>
        <w:rPr>
          <w:noProof/>
          <w:lang w:eastAsia="es-ES"/>
        </w:rPr>
        <w:lastRenderedPageBreak/>
        <w:drawing>
          <wp:inline distT="0" distB="0" distL="0" distR="0" wp14:anchorId="035681FE" wp14:editId="5917B03B">
            <wp:extent cx="2847975" cy="1609725"/>
            <wp:effectExtent l="19050" t="0" r="952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 Image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097A4" w14:textId="77777777" w:rsidR="00171445" w:rsidRDefault="00171445" w:rsidP="00171445">
      <w:pPr>
        <w:pStyle w:val="Ttulo2"/>
        <w:spacing w:after="240"/>
      </w:pPr>
      <w:r>
        <w:rPr>
          <w:noProof/>
        </w:rPr>
        <w:drawing>
          <wp:inline distT="0" distB="0" distL="0" distR="0" wp14:anchorId="4089995D" wp14:editId="0B59D7DE">
            <wp:extent cx="2667000" cy="1714500"/>
            <wp:effectExtent l="0" t="0" r="0" b="0"/>
            <wp:docPr id="1645247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7981" name="Imagen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1618D7" w14:textId="77777777" w:rsidR="00171445" w:rsidRDefault="00171445" w:rsidP="00171445">
      <w:pPr>
        <w:spacing w:after="240"/>
      </w:pPr>
    </w:p>
    <w:p w14:paraId="21C3B4AB" w14:textId="77777777" w:rsidR="00171445" w:rsidRDefault="00171445" w:rsidP="00171445">
      <w:pPr>
        <w:spacing w:after="240"/>
      </w:pPr>
    </w:p>
    <w:p w14:paraId="6BF6CAD0" w14:textId="77777777" w:rsidR="00171445" w:rsidRPr="00171445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Datos de uso de la plataforma digital en formato tabla</w:t>
      </w:r>
    </w:p>
    <w:p w14:paraId="75CF8914" w14:textId="77777777" w:rsidR="00171445" w:rsidRPr="00346375" w:rsidRDefault="00171445" w:rsidP="00171445">
      <w:pPr>
        <w:spacing w:after="240"/>
      </w:pPr>
    </w:p>
    <w:tbl>
      <w:tblPr>
        <w:tblStyle w:val="Tablaconcuadrcula"/>
        <w:tblW w:w="0" w:type="auto"/>
        <w:tblInd w:w="38" w:type="dxa"/>
        <w:tblLook w:val="0620" w:firstRow="1" w:lastRow="0" w:firstColumn="0" w:lastColumn="0" w:noHBand="1" w:noVBand="1"/>
        <w:tblCaption w:val="Estadísticas de uso de la app"/>
        <w:tblDescription w:val="Tabla con número de citas médicas y consultas realizadas por mes"/>
      </w:tblPr>
      <w:tblGrid>
        <w:gridCol w:w="2816"/>
        <w:gridCol w:w="2813"/>
        <w:gridCol w:w="2827"/>
      </w:tblGrid>
      <w:tr w:rsidR="00095CCE" w14:paraId="60453558" w14:textId="77777777" w:rsidTr="00BE3BA0">
        <w:trPr>
          <w:cantSplit/>
        </w:trPr>
        <w:tc>
          <w:tcPr>
            <w:tcW w:w="8456" w:type="dxa"/>
            <w:gridSpan w:val="3"/>
          </w:tcPr>
          <w:p w14:paraId="61BFF7DF" w14:textId="77777777" w:rsidR="00095CCE" w:rsidRPr="00171445" w:rsidRDefault="00095CCE" w:rsidP="00051490">
            <w:pPr>
              <w:spacing w:after="240"/>
            </w:pPr>
            <w:r w:rsidRPr="00171445">
              <w:t>Mes</w:t>
            </w:r>
          </w:p>
          <w:p w14:paraId="0AA359E8" w14:textId="37BCD18E" w:rsidR="00095CCE" w:rsidRPr="00171445" w:rsidRDefault="00095CCE" w:rsidP="00051490">
            <w:pPr>
              <w:spacing w:after="240"/>
            </w:pPr>
            <w:r w:rsidRPr="00171445">
              <w:t>Citas Online</w:t>
            </w:r>
          </w:p>
          <w:p w14:paraId="69D30A76" w14:textId="38FE30CF" w:rsidR="00095CCE" w:rsidRPr="00171445" w:rsidRDefault="00095CCE" w:rsidP="00051490">
            <w:pPr>
              <w:spacing w:after="240"/>
            </w:pPr>
            <w:r w:rsidRPr="00171445">
              <w:t>Descargas</w:t>
            </w:r>
          </w:p>
        </w:tc>
      </w:tr>
      <w:tr w:rsidR="00171445" w14:paraId="635275DD" w14:textId="77777777" w:rsidTr="00095CCE">
        <w:tc>
          <w:tcPr>
            <w:tcW w:w="2816" w:type="dxa"/>
          </w:tcPr>
          <w:p w14:paraId="5A1C610F" w14:textId="77777777" w:rsidR="00171445" w:rsidRDefault="00171445" w:rsidP="00051490">
            <w:pPr>
              <w:spacing w:after="240"/>
            </w:pPr>
            <w:r>
              <w:t>Enero</w:t>
            </w:r>
          </w:p>
        </w:tc>
        <w:tc>
          <w:tcPr>
            <w:tcW w:w="2813" w:type="dxa"/>
          </w:tcPr>
          <w:p w14:paraId="0DC47277" w14:textId="77777777" w:rsidR="00171445" w:rsidRDefault="00171445" w:rsidP="00051490">
            <w:pPr>
              <w:spacing w:after="240"/>
            </w:pPr>
            <w:r>
              <w:t>20</w:t>
            </w:r>
          </w:p>
        </w:tc>
        <w:tc>
          <w:tcPr>
            <w:tcW w:w="2827" w:type="dxa"/>
          </w:tcPr>
          <w:p w14:paraId="4467F5EE" w14:textId="77777777" w:rsidR="00171445" w:rsidRDefault="00171445" w:rsidP="00051490">
            <w:pPr>
              <w:spacing w:after="240"/>
            </w:pPr>
            <w:r>
              <w:t>55</w:t>
            </w:r>
          </w:p>
        </w:tc>
      </w:tr>
      <w:tr w:rsidR="00171445" w14:paraId="1D0AAF7F" w14:textId="77777777" w:rsidTr="00095CCE">
        <w:tc>
          <w:tcPr>
            <w:tcW w:w="2816" w:type="dxa"/>
          </w:tcPr>
          <w:p w14:paraId="6D808748" w14:textId="77777777" w:rsidR="00171445" w:rsidRDefault="00171445" w:rsidP="00051490">
            <w:pPr>
              <w:spacing w:after="240"/>
            </w:pPr>
            <w:r>
              <w:t>Febrero</w:t>
            </w:r>
          </w:p>
        </w:tc>
        <w:tc>
          <w:tcPr>
            <w:tcW w:w="2813" w:type="dxa"/>
          </w:tcPr>
          <w:p w14:paraId="76D2D9DA" w14:textId="77777777" w:rsidR="00171445" w:rsidRDefault="00171445" w:rsidP="00051490">
            <w:pPr>
              <w:spacing w:after="240"/>
            </w:pPr>
            <w:r>
              <w:t>15</w:t>
            </w:r>
          </w:p>
        </w:tc>
        <w:tc>
          <w:tcPr>
            <w:tcW w:w="2827" w:type="dxa"/>
          </w:tcPr>
          <w:p w14:paraId="11FC746A" w14:textId="77777777" w:rsidR="00171445" w:rsidRDefault="00171445" w:rsidP="00051490">
            <w:pPr>
              <w:spacing w:after="240"/>
            </w:pPr>
            <w:r>
              <w:t>30</w:t>
            </w:r>
          </w:p>
        </w:tc>
      </w:tr>
    </w:tbl>
    <w:p w14:paraId="3DFB5C53" w14:textId="77777777" w:rsidR="00171445" w:rsidRDefault="00171445" w:rsidP="00171445">
      <w:pPr>
        <w:spacing w:after="240"/>
      </w:pPr>
    </w:p>
    <w:p w14:paraId="6F11B70A" w14:textId="77777777" w:rsidR="00171445" w:rsidRDefault="00171445" w:rsidP="00171445">
      <w:pPr>
        <w:spacing w:after="240"/>
      </w:pPr>
      <w:r>
        <w:t>Proceso de solicitud de cita médica:</w:t>
      </w:r>
    </w:p>
    <w:p w14:paraId="15A7E123" w14:textId="77777777" w:rsidR="00171445" w:rsidRDefault="00171445" w:rsidP="00171445">
      <w:pPr>
        <w:spacing w:after="240"/>
      </w:pPr>
      <w:r>
        <w:t>Rellenar formulario</w:t>
      </w:r>
    </w:p>
    <w:p w14:paraId="6474C1C5" w14:textId="77777777" w:rsidR="00171445" w:rsidRDefault="00171445" w:rsidP="00171445">
      <w:pPr>
        <w:spacing w:after="240"/>
      </w:pPr>
      <w:r>
        <w:t>Confirmar datos</w:t>
      </w:r>
    </w:p>
    <w:p w14:paraId="6E3A9C66" w14:textId="77777777" w:rsidR="00171445" w:rsidRDefault="00171445" w:rsidP="00171445">
      <w:pPr>
        <w:spacing w:after="240"/>
      </w:pPr>
      <w:r>
        <w:t>Enviar datos</w:t>
      </w:r>
    </w:p>
    <w:p w14:paraId="598EDC3B" w14:textId="77777777" w:rsidR="00171445" w:rsidRPr="00171445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lastRenderedPageBreak/>
        <w:t>Enlaces útiles</w:t>
      </w:r>
    </w:p>
    <w:p w14:paraId="58A3A1EB" w14:textId="77777777" w:rsidR="00171445" w:rsidRPr="00346375" w:rsidRDefault="00171445" w:rsidP="00171445">
      <w:pPr>
        <w:spacing w:after="240"/>
      </w:pPr>
    </w:p>
    <w:p w14:paraId="18879016" w14:textId="77777777" w:rsidR="00171445" w:rsidRDefault="00171445" w:rsidP="00171445">
      <w:pPr>
        <w:spacing w:after="240"/>
      </w:pPr>
      <w:r>
        <w:t>Consulta la guía de accesibilidad de la UA:</w:t>
      </w:r>
    </w:p>
    <w:p w14:paraId="196B6A8B" w14:textId="68EE2DE0" w:rsidR="00171445" w:rsidRPr="00346375" w:rsidRDefault="00171445" w:rsidP="00171445">
      <w:pPr>
        <w:spacing w:after="240"/>
      </w:pPr>
      <w:hyperlink r:id="rId11" w:history="1">
        <w:r w:rsidRPr="00171445">
          <w:rPr>
            <w:rStyle w:val="Hipervnculo"/>
          </w:rPr>
          <w:t>https://web.ua.es/es/accesibilidad/documentos-electronicos-accesibles.html</w:t>
        </w:r>
      </w:hyperlink>
    </w:p>
    <w:p w14:paraId="48E307B9" w14:textId="77777777" w:rsidR="00171445" w:rsidRPr="00171445" w:rsidRDefault="00171445" w:rsidP="00171445">
      <w:pPr>
        <w:pStyle w:val="Ttulo2"/>
        <w:spacing w:after="240"/>
        <w:rPr>
          <w:color w:val="B7D4EF" w:themeColor="text2" w:themeTint="33"/>
        </w:rPr>
      </w:pPr>
      <w:r w:rsidRPr="00171445">
        <w:rPr>
          <w:color w:val="B7D4EF" w:themeColor="text2" w:themeTint="33"/>
        </w:rPr>
        <w:t>IDIOMAS Y CONTENIDO INTERNACIONAL</w:t>
      </w:r>
    </w:p>
    <w:p w14:paraId="48AC2B02" w14:textId="77777777" w:rsidR="00171445" w:rsidRPr="008B07A6" w:rsidRDefault="00171445" w:rsidP="00171445">
      <w:pPr>
        <w:spacing w:after="240"/>
      </w:pPr>
    </w:p>
    <w:p w14:paraId="0FFACDA9" w14:textId="77777777" w:rsidR="00171445" w:rsidRPr="00095CCE" w:rsidRDefault="00171445" w:rsidP="00171445">
      <w:pPr>
        <w:spacing w:after="240"/>
      </w:pPr>
      <w:r w:rsidRPr="00095CCE">
        <w:t xml:space="preserve">Here </w:t>
      </w:r>
      <w:proofErr w:type="spellStart"/>
      <w:r w:rsidRPr="00095CCE">
        <w:t>you</w:t>
      </w:r>
      <w:proofErr w:type="spellEnd"/>
      <w:r w:rsidRPr="00095CCE">
        <w:t xml:space="preserve"> can </w:t>
      </w:r>
      <w:proofErr w:type="spellStart"/>
      <w:r w:rsidRPr="00095CCE">
        <w:t>also</w:t>
      </w:r>
      <w:proofErr w:type="spellEnd"/>
      <w:r w:rsidRPr="00095CCE">
        <w:t xml:space="preserve"> </w:t>
      </w:r>
      <w:proofErr w:type="spellStart"/>
      <w:r w:rsidRPr="00095CCE">
        <w:t>learn</w:t>
      </w:r>
      <w:proofErr w:type="spellEnd"/>
      <w:r w:rsidRPr="00095CCE">
        <w:t xml:space="preserve"> a </w:t>
      </w:r>
      <w:proofErr w:type="spellStart"/>
      <w:r w:rsidRPr="00095CCE">
        <w:t>lot</w:t>
      </w:r>
      <w:proofErr w:type="spellEnd"/>
      <w:r w:rsidRPr="00095CCE">
        <w:t xml:space="preserve"> </w:t>
      </w:r>
      <w:proofErr w:type="spellStart"/>
      <w:r w:rsidRPr="00095CCE">
        <w:t>of</w:t>
      </w:r>
      <w:proofErr w:type="spellEnd"/>
      <w:r w:rsidRPr="00095CCE">
        <w:t xml:space="preserve"> English, so </w:t>
      </w:r>
      <w:proofErr w:type="spellStart"/>
      <w:r w:rsidRPr="00095CCE">
        <w:t>enjoy</w:t>
      </w:r>
      <w:proofErr w:type="spellEnd"/>
      <w:r w:rsidRPr="00095CCE">
        <w:t xml:space="preserve"> </w:t>
      </w:r>
      <w:proofErr w:type="spellStart"/>
      <w:r w:rsidRPr="00095CCE">
        <w:t>our</w:t>
      </w:r>
      <w:proofErr w:type="spellEnd"/>
      <w:r w:rsidRPr="00095CCE">
        <w:t xml:space="preserve"> </w:t>
      </w:r>
      <w:proofErr w:type="spellStart"/>
      <w:r w:rsidRPr="00095CCE">
        <w:t>document</w:t>
      </w:r>
      <w:proofErr w:type="spellEnd"/>
      <w:r w:rsidRPr="00095CCE">
        <w:t>.</w:t>
      </w:r>
    </w:p>
    <w:p w14:paraId="23B08F62" w14:textId="77777777" w:rsidR="00171445" w:rsidRPr="00095CCE" w:rsidRDefault="00171445" w:rsidP="00171445">
      <w:pPr>
        <w:spacing w:after="240"/>
      </w:pPr>
      <w:proofErr w:type="spellStart"/>
      <w:r w:rsidRPr="00095CCE">
        <w:t>Usability</w:t>
      </w:r>
      <w:proofErr w:type="spellEnd"/>
      <w:r w:rsidRPr="00095CCE">
        <w:t xml:space="preserve"> and </w:t>
      </w:r>
      <w:proofErr w:type="spellStart"/>
      <w:r w:rsidRPr="00095CCE">
        <w:t>accessibility</w:t>
      </w:r>
      <w:proofErr w:type="spellEnd"/>
      <w:r w:rsidRPr="00095CCE">
        <w:t xml:space="preserve"> are </w:t>
      </w:r>
      <w:proofErr w:type="spellStart"/>
      <w:r w:rsidRPr="00095CCE">
        <w:t>good</w:t>
      </w:r>
      <w:proofErr w:type="spellEnd"/>
      <w:r w:rsidRPr="00095CCE">
        <w:t xml:space="preserve">, </w:t>
      </w:r>
      <w:proofErr w:type="spellStart"/>
      <w:r w:rsidRPr="00095CCE">
        <w:t>very</w:t>
      </w:r>
      <w:proofErr w:type="spellEnd"/>
      <w:r w:rsidRPr="00095CCE">
        <w:t xml:space="preserve"> </w:t>
      </w:r>
      <w:proofErr w:type="spellStart"/>
      <w:r w:rsidRPr="00095CCE">
        <w:t>nice</w:t>
      </w:r>
      <w:proofErr w:type="spellEnd"/>
      <w:r w:rsidRPr="00095CCE">
        <w:t>!</w:t>
      </w:r>
    </w:p>
    <w:p w14:paraId="477964EA" w14:textId="77777777" w:rsidR="00171445" w:rsidRPr="00095CCE" w:rsidRDefault="00171445" w:rsidP="00171445">
      <w:pPr>
        <w:pStyle w:val="Ttulo2"/>
        <w:spacing w:after="240"/>
        <w:rPr>
          <w:color w:val="B7D4EF" w:themeColor="text2" w:themeTint="33"/>
        </w:rPr>
      </w:pPr>
      <w:r w:rsidRPr="00095CCE">
        <w:rPr>
          <w:color w:val="B7D4EF" w:themeColor="text2" w:themeTint="33"/>
        </w:rPr>
        <w:t>CONCLUSIÓN</w:t>
      </w:r>
    </w:p>
    <w:p w14:paraId="17213555" w14:textId="77777777" w:rsidR="00171445" w:rsidRPr="00B709BA" w:rsidRDefault="00171445" w:rsidP="00171445">
      <w:pPr>
        <w:spacing w:after="240"/>
      </w:pPr>
      <w:r w:rsidRPr="00B709BA">
        <w:t>Garantizar la accesibilidad y la usabilidad en el ámbito sanitario digital no solo cumple con la legislación, sino que mejora la calidad de vida de las personas.</w:t>
      </w:r>
      <w:r w:rsidRPr="00B709BA">
        <w:br/>
        <w:t>Un documento o web accesible es más claro, usable y universal.</w:t>
      </w:r>
    </w:p>
    <w:p w14:paraId="5344A835" w14:textId="77777777" w:rsidR="00171445" w:rsidRDefault="00171445"/>
    <w:sectPr w:rsidR="00171445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B5D7E" w14:textId="77777777" w:rsidR="008073DC" w:rsidRDefault="008073DC" w:rsidP="00095CCE">
      <w:pPr>
        <w:spacing w:after="0" w:line="240" w:lineRule="auto"/>
      </w:pPr>
      <w:r>
        <w:separator/>
      </w:r>
    </w:p>
  </w:endnote>
  <w:endnote w:type="continuationSeparator" w:id="0">
    <w:p w14:paraId="24D9B780" w14:textId="77777777" w:rsidR="008073DC" w:rsidRDefault="008073DC" w:rsidP="00095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9D2B4" w14:textId="77777777" w:rsidR="008073DC" w:rsidRDefault="008073DC" w:rsidP="00095CCE">
      <w:pPr>
        <w:spacing w:after="0" w:line="240" w:lineRule="auto"/>
      </w:pPr>
      <w:r>
        <w:separator/>
      </w:r>
    </w:p>
  </w:footnote>
  <w:footnote w:type="continuationSeparator" w:id="0">
    <w:p w14:paraId="0A538904" w14:textId="77777777" w:rsidR="008073DC" w:rsidRDefault="008073DC" w:rsidP="00095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EBF16" w14:textId="67179C45" w:rsidR="00095CCE" w:rsidRDefault="00095CCE">
    <w:pPr>
      <w:pStyle w:val="Encabezado"/>
    </w:pPr>
    <w:r>
      <w:t xml:space="preserve">ALEX DANIEL APOLO DÁVILA    FRANCISCO JOSÉ JUAN TORTOSA             </w:t>
    </w:r>
  </w:p>
  <w:p w14:paraId="2CC6E486" w14:textId="45E1593E" w:rsidR="00095CCE" w:rsidRDefault="00095CCE">
    <w:pPr>
      <w:pStyle w:val="Encabezado"/>
    </w:pPr>
    <w:r>
      <w:t xml:space="preserve">DOCUMENTO SIN CARACTERISTICAS DE USABILIDAD </w:t>
    </w:r>
  </w:p>
  <w:p w14:paraId="5F9A7106" w14:textId="0E8DD868" w:rsidR="00095CCE" w:rsidRDefault="00095CCE">
    <w:pPr>
      <w:pStyle w:val="Encabezado"/>
    </w:pPr>
    <w:r>
      <w:t>PRÁCTICA 7 ACCESIBILIDAD Y USABILIDAD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3242B"/>
    <w:multiLevelType w:val="hybridMultilevel"/>
    <w:tmpl w:val="67A22C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4049D9"/>
    <w:multiLevelType w:val="hybridMultilevel"/>
    <w:tmpl w:val="921CB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2D5371"/>
    <w:multiLevelType w:val="hybridMultilevel"/>
    <w:tmpl w:val="D41CC84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2199432">
    <w:abstractNumId w:val="0"/>
  </w:num>
  <w:num w:numId="2" w16cid:durableId="2078672935">
    <w:abstractNumId w:val="2"/>
  </w:num>
  <w:num w:numId="3" w16cid:durableId="1893955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445"/>
    <w:rsid w:val="00095CCE"/>
    <w:rsid w:val="00171445"/>
    <w:rsid w:val="003063A0"/>
    <w:rsid w:val="0080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63E13"/>
  <w15:chartTrackingRefBased/>
  <w15:docId w15:val="{DEE40E34-69E6-40AF-B24D-307248FF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445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71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71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1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1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1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1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1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1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1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1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71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1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1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14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1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1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1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1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1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1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1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1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1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1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1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14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1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14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144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17144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71445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71445"/>
    <w:rPr>
      <w:color w:val="96607D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144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95C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95CCE"/>
    <w:rPr>
      <w:kern w:val="0"/>
      <w:sz w:val="22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95C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95CCE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.ua.es/es/accesibilidad/documentos-electronicos-accesibles.html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ES" b="1"/>
              <a:t>Uso de apps sanitarias por grupo - %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Teleconsulta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Hoja1!$A$2:$A$4</c:f>
              <c:strCache>
                <c:ptCount val="3"/>
                <c:pt idx="0">
                  <c:v>Médicos</c:v>
                </c:pt>
                <c:pt idx="1">
                  <c:v>Enfermería</c:v>
                </c:pt>
                <c:pt idx="2">
                  <c:v>Administrativos</c:v>
                </c:pt>
              </c:strCache>
            </c:strRef>
          </c:cat>
          <c:val>
            <c:numRef>
              <c:f>Hoja1!$B$2:$B$4</c:f>
              <c:numCache>
                <c:formatCode>General</c:formatCode>
                <c:ptCount val="3"/>
                <c:pt idx="0">
                  <c:v>65</c:v>
                </c:pt>
                <c:pt idx="1">
                  <c:v>50</c:v>
                </c:pt>
                <c:pt idx="2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B1-4495-A45C-E4FE5DC8BC4F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Historia clinica(%)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Hoja1!$A$2:$A$4</c:f>
              <c:strCache>
                <c:ptCount val="3"/>
                <c:pt idx="0">
                  <c:v>Médicos</c:v>
                </c:pt>
                <c:pt idx="1">
                  <c:v>Enfermería</c:v>
                </c:pt>
                <c:pt idx="2">
                  <c:v>Administrativos</c:v>
                </c:pt>
              </c:strCache>
            </c:strRef>
          </c:cat>
          <c:val>
            <c:numRef>
              <c:f>Hoja1!$C$2:$C$4</c:f>
              <c:numCache>
                <c:formatCode>General</c:formatCode>
                <c:ptCount val="3"/>
                <c:pt idx="0">
                  <c:v>80</c:v>
                </c:pt>
                <c:pt idx="1">
                  <c:v>70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8B1-4495-A45C-E4FE5DC8BC4F}"/>
            </c:ext>
          </c:extLst>
        </c:ser>
        <c:ser>
          <c:idx val="2"/>
          <c:order val="2"/>
          <c:tx>
            <c:strRef>
              <c:f>Hoja1!$D$1</c:f>
              <c:strCache>
                <c:ptCount val="1"/>
                <c:pt idx="0">
                  <c:v>Comunicación (%)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Hoja1!$A$2:$A$4</c:f>
              <c:strCache>
                <c:ptCount val="3"/>
                <c:pt idx="0">
                  <c:v>Médicos</c:v>
                </c:pt>
                <c:pt idx="1">
                  <c:v>Enfermería</c:v>
                </c:pt>
                <c:pt idx="2">
                  <c:v>Administrativos</c:v>
                </c:pt>
              </c:strCache>
            </c:strRef>
          </c:cat>
          <c:val>
            <c:numRef>
              <c:f>Hoja1!$D$2:$D$4</c:f>
              <c:numCache>
                <c:formatCode>General</c:formatCode>
                <c:ptCount val="3"/>
                <c:pt idx="0">
                  <c:v>72</c:v>
                </c:pt>
                <c:pt idx="1">
                  <c:v>60</c:v>
                </c:pt>
                <c:pt idx="2">
                  <c:v>30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8B1-4495-A45C-E4FE5DC8B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648149248"/>
        <c:axId val="648149608"/>
      </c:barChart>
      <c:catAx>
        <c:axId val="64814924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0" i="0" u="none" strike="noStrike" kern="1200" cap="none" spc="0" baseline="0">
                <a:ln w="0"/>
                <a:solidFill>
                  <a:schemeClr val="tx1"/>
                </a:solidFill>
                <a:effectLst>
                  <a:outerShdw blurRad="38100" dist="19050" dir="2700000" algn="tl" rotWithShape="0">
                    <a:schemeClr val="dk1">
                      <a:alpha val="40000"/>
                    </a:schemeClr>
                  </a:outerShdw>
                </a:effectLst>
                <a:latin typeface="+mn-lt"/>
                <a:ea typeface="+mn-ea"/>
                <a:cs typeface="+mn-cs"/>
              </a:defRPr>
            </a:pPr>
            <a:endParaRPr lang="es-ES"/>
          </a:p>
        </c:txPr>
        <c:crossAx val="648149608"/>
        <c:crosses val="autoZero"/>
        <c:auto val="1"/>
        <c:lblAlgn val="ctr"/>
        <c:lblOffset val="100"/>
        <c:noMultiLvlLbl val="0"/>
      </c:catAx>
      <c:valAx>
        <c:axId val="6481496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648149248"/>
        <c:crosses val="autoZero"/>
        <c:crossBetween val="between"/>
      </c:valAx>
      <c:spPr>
        <a:pattFill prst="wdDnDiag">
          <a:fgClr>
            <a:sysClr val="windowText" lastClr="000000">
              <a:lumMod val="65000"/>
              <a:lumOff val="35000"/>
            </a:sysClr>
          </a:fgClr>
          <a:bgClr>
            <a:schemeClr val="bg1"/>
          </a:bgClr>
        </a:pattFill>
        <a:ln>
          <a:gradFill>
            <a:gsLst>
              <a:gs pos="0">
                <a:schemeClr val="accent1">
                  <a:lumMod val="5000"/>
                  <a:lumOff val="95000"/>
                </a:schemeClr>
              </a:gs>
              <a:gs pos="74000">
                <a:schemeClr val="accent1">
                  <a:lumMod val="45000"/>
                  <a:lumOff val="55000"/>
                </a:schemeClr>
              </a:gs>
              <a:gs pos="83000">
                <a:schemeClr val="accent1">
                  <a:lumMod val="45000"/>
                  <a:lumOff val="55000"/>
                </a:schemeClr>
              </a:gs>
              <a:gs pos="100000">
                <a:schemeClr val="accent1">
                  <a:lumMod val="30000"/>
                  <a:lumOff val="70000"/>
                </a:schemeClr>
              </a:gs>
            </a:gsLst>
            <a:lin ang="5400000" scaled="1"/>
          </a:gradFill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224BC9-A6E0-4017-8796-EA302A190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Juan Tortosa</dc:creator>
  <cp:keywords/>
  <dc:description/>
  <cp:lastModifiedBy>Francisco José Juan Tortosa</cp:lastModifiedBy>
  <cp:revision>1</cp:revision>
  <dcterms:created xsi:type="dcterms:W3CDTF">2025-11-05T19:58:00Z</dcterms:created>
  <dcterms:modified xsi:type="dcterms:W3CDTF">2025-11-05T20:13:00Z</dcterms:modified>
</cp:coreProperties>
</file>