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t>
      </w:r>
    </w:p>
    <w:p>
      <w:r>
        <w:rPr>
          <w:rFonts w:ascii="Arial" w:cs="Arial" w:eastAsia="Arial" w:hAnsi="Arial"/>
        </w:rPr>
        <w:t xml:space="preserve"> </w:t>
      </w:r>
    </w:p>
    <w:p>
      <w:pPr>
        <w:jc w:val="center"/>
      </w:pPr>
      <w:r>
        <w:rPr>
          <w:rFonts w:ascii="Arial" w:cs="Arial" w:eastAsia="Arial" w:hAnsi="Arial"/>
          <w:b/>
          <w:bCs/>
          <w:color w:val="666666"/>
          <w:sz w:val="24"/>
          <w:szCs w:val="24"/>
        </w:rPr>
        <w:t xml:space="preserve">POLICY BRIEF</w:t>
      </w:r>
    </w:p>
    <w:p>
      <w:pPr>
        <w:jc w:val="center"/>
      </w:pPr>
      <w:r>
        <w:rPr>
          <w:rFonts w:ascii="Arial" w:cs="Arial" w:eastAsia="Arial" w:hAnsi="Arial"/>
          <w:b/>
          <w:bCs/>
          <w:color w:val="1F3864"/>
          <w:sz w:val="32"/>
          <w:szCs w:val="32"/>
        </w:rPr>
        <w:t xml:space="preserve">GrantGuard: A Practical System for Corruption-Resistant Government Procurement</w:t>
      </w:r>
    </w:p>
    <w:p>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Prepared for: Senior Policy Officials, GSA / PSPC / OMB / TBS</w:t>
            </w:r>
          </w:p>
        </w:tc>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Date: June 2026</w:t>
            </w:r>
          </w:p>
        </w:tc>
      </w:tr>
    </w:tbl>
    <w:p>
      <w:r>
        <w:rPr>
          <w:rFonts w:ascii="Arial" w:cs="Arial" w:eastAsia="Arial" w:hAnsi="Arial"/>
        </w:rPr>
        <w:t xml:space="preserve"> </w:t>
      </w:r>
    </w:p>
    <w:p>
      <w:pPr>
        <w:pBdr>
          <w:bottom w:val="single" w:color="1F3864" w:sz="8"/>
        </w:pBdr>
      </w:pPr>
      <w:r>
        <w:t xml:space="preserve"/>
      </w:r>
    </w:p>
    <w:p>
      <w:r>
        <w:rPr>
          <w:rFonts w:ascii="Arial" w:cs="Arial" w:eastAsia="Arial" w:hAnsi="Arial"/>
        </w:rPr>
        <w:t xml:space="preserve"> </w:t>
      </w:r>
    </w:p>
    <w:p>
      <w:pPr>
        <w:pStyle w:val="Heading1"/>
      </w:pPr>
      <w:r>
        <w:rPr>
          <w:rFonts w:ascii="Arial" w:cs="Arial" w:eastAsia="Arial" w:hAnsi="Arial"/>
          <w:b/>
          <w:bCs/>
          <w:color w:val="1F3864"/>
          <w:sz w:val="36"/>
          <w:szCs w:val="36"/>
        </w:rPr>
        <w:t xml:space="preserve">The Problem</w:t>
      </w:r>
    </w:p>
    <w:p>
      <w:pPr>
        <w:spacing w:after="120" w:before="80"/>
        <w:jc w:val="both"/>
      </w:pPr>
      <w:r>
        <w:rPr>
          <w:rFonts w:ascii="Arial" w:cs="Arial" w:eastAsia="Arial" w:hAnsi="Arial"/>
          <w:color w:val="222222"/>
          <w:sz w:val="20"/>
          <w:szCs w:val="20"/>
        </w:rPr>
        <w:t xml:space="preserve">Government procurement is among the most corruption-prone activities in public administration. Conservative OECD estimates suggest 20-25% of procurement spending is lost to corruption, collusion, or structural inefficiency. This represents roughly $154B annually in the United States and CAD$7.4B in Canada. This is not primarily a detection failure. It is an incentive structure failure: the expected payoff from corruption exceeds the expected cost of getting caught.</w:t>
      </w:r>
    </w:p>
    <w:p>
      <w:r>
        <w:rPr>
          <w:rFonts w:ascii="Arial" w:cs="Arial" w:eastAsia="Arial" w:hAnsi="Aria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CCCCC" w:sz="2"/>
              <w:bottom w:val="single" w:color="CCCCCC" w:sz="2"/>
              <w:right w:val="single" w:color="CCCCCC" w:sz="2"/>
            </w:tcBorders>
            <w:shd w:fill="F2F2F2" w:val="clear"/>
            <w:tcMar>
              <w:top w:type="dxa" w:w="120"/>
              <w:left w:type="dxa" w:w="200"/>
              <w:bottom w:type="dxa" w:w="120"/>
              <w:right w:type="dxa" w:w="120"/>
            </w:tcMar>
          </w:tcPr>
          <w:p>
            <w:r>
              <w:rPr>
                <w:rFonts w:ascii="Arial" w:cs="Arial" w:eastAsia="Arial" w:hAnsi="Arial"/>
                <w:i/>
                <w:iCs/>
                <w:sz w:val="19"/>
                <w:szCs w:val="19"/>
              </w:rPr>
              <w:t xml:space="preserve">Key fact: A firm that bribes a single reviewer on a $10M contract, at a cost of $50,000, faces an expected return of $3-4M. No detection system can be effective if the underlying incentive math remains this favorable to corruption.</w:t>
            </w:r>
          </w:p>
        </w:tc>
      </w:tr>
    </w:tbl>
    <w:p>
      <w:r>
        <w:rPr>
          <w:rFonts w:ascii="Arial" w:cs="Arial" w:eastAsia="Arial" w:hAnsi="Arial"/>
        </w:rPr>
        <w:t xml:space="preserve"> </w:t>
      </w:r>
    </w:p>
    <w:p>
      <w:pPr>
        <w:pStyle w:val="Heading1"/>
      </w:pPr>
      <w:r>
        <w:rPr>
          <w:rFonts w:ascii="Arial" w:cs="Arial" w:eastAsia="Arial" w:hAnsi="Arial"/>
          <w:b/>
          <w:bCs/>
          <w:color w:val="1F3864"/>
          <w:sz w:val="36"/>
          <w:szCs w:val="36"/>
        </w:rPr>
        <w:t xml:space="preserve">What GrantGuard Does</w:t>
      </w:r>
    </w:p>
    <w:p>
      <w:pPr>
        <w:spacing w:after="120" w:before="80"/>
        <w:jc w:val="both"/>
      </w:pPr>
      <w:r>
        <w:rPr>
          <w:rFonts w:ascii="Arial" w:cs="Arial" w:eastAsia="Arial" w:hAnsi="Arial"/>
          <w:color w:val="222222"/>
          <w:sz w:val="20"/>
          <w:szCs w:val="20"/>
        </w:rPr>
        <w:t xml:space="preserve">GrantGuard does not eliminate corruption. What it does is change the economics: it increases coordination costs, raises detection probability, and reduces payoff certainty. The goal is to make corruption economically irrational for 12 of the 15 documented attack vectors.</w:t>
      </w:r>
    </w:p>
    <w:p>
      <w:r>
        <w:rPr>
          <w:rFonts w:ascii="Arial" w:cs="Arial" w:eastAsia="Arial" w:hAnsi="Arial"/>
        </w:rPr>
        <w:t xml:space="preserve"> </w:t>
      </w:r>
    </w:p>
    <w:p>
      <w:pPr>
        <w:pStyle w:val="ListParagraph"/>
        <w:numPr>
          <w:ilvl w:val="0"/>
          <w:numId w:val="2"/>
        </w:numPr>
        <w:spacing w:after="60" w:before="60"/>
      </w:pPr>
      <w:r>
        <w:rPr>
          <w:rFonts w:ascii="Arial" w:cs="Arial" w:eastAsia="Arial" w:hAnsi="Arial"/>
          <w:sz w:val="20"/>
          <w:szCs w:val="20"/>
        </w:rPr>
        <w:t xml:space="preserve">Structural deterrence: randomised reviewer assignment, cryptographic commit-reveal, randomised selection function</w:t>
      </w:r>
    </w:p>
    <w:p>
      <w:pPr>
        <w:pStyle w:val="ListParagraph"/>
        <w:numPr>
          <w:ilvl w:val="0"/>
          <w:numId w:val="2"/>
        </w:numPr>
        <w:spacing w:after="60" w:before="60"/>
      </w:pPr>
      <w:r>
        <w:rPr>
          <w:rFonts w:ascii="Arial" w:cs="Arial" w:eastAsia="Arial" w:hAnsi="Arial"/>
          <w:sz w:val="20"/>
          <w:szCs w:val="20"/>
        </w:rPr>
        <w:t xml:space="preserve">Detection and attribution: 12-indicator CIM, ML classifier, whistleblower integration, network graph analysis</w:t>
      </w:r>
    </w:p>
    <w:p>
      <w:pPr>
        <w:pStyle w:val="ListParagraph"/>
        <w:numPr>
          <w:ilvl w:val="0"/>
          <w:numId w:val="2"/>
        </w:numPr>
        <w:spacing w:after="60" w:before="60"/>
      </w:pPr>
      <w:r>
        <w:rPr>
          <w:rFonts w:ascii="Arial" w:cs="Arial" w:eastAsia="Arial" w:hAnsi="Arial"/>
          <w:sz w:val="20"/>
          <w:szCs w:val="20"/>
        </w:rPr>
        <w:t xml:space="preserve">Consequence amplification: automated GAO/OAG referral, CITT pathway, FCA qui tam routing, public disclosure</w:t>
      </w:r>
    </w:p>
    <w:p>
      <w:r>
        <w:rPr>
          <w:rFonts w:ascii="Arial" w:cs="Arial" w:eastAsia="Arial" w:hAnsi="Arial"/>
        </w:rPr>
        <w:t xml:space="preserve"> </w:t>
      </w:r>
    </w:p>
    <w:p>
      <w:pPr>
        <w:pStyle w:val="Heading1"/>
      </w:pPr>
      <w:r>
        <w:rPr>
          <w:rFonts w:ascii="Arial" w:cs="Arial" w:eastAsia="Arial" w:hAnsi="Arial"/>
          <w:b/>
          <w:bCs/>
          <w:color w:val="1F3864"/>
          <w:sz w:val="36"/>
          <w:szCs w:val="36"/>
        </w:rPr>
        <w:t xml:space="preserve">Three Things That Cannot Be Fixed Algorithmically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CCCCC" w:sz="2"/>
              <w:bottom w:val="single" w:color="CCCCCC" w:sz="2"/>
              <w:right w:val="single" w:color="CCCCCC" w:sz="2"/>
            </w:tcBorders>
            <w:shd w:fill="F2F2F2" w:val="clear"/>
            <w:tcMar>
              <w:top w:type="dxa" w:w="120"/>
              <w:left w:type="dxa" w:w="200"/>
              <w:bottom w:type="dxa" w:w="120"/>
              <w:right w:type="dxa" w:w="120"/>
            </w:tcMar>
          </w:tcPr>
          <w:p>
            <w:r>
              <w:rPr>
                <w:rFonts w:ascii="Arial" w:cs="Arial" w:eastAsia="Arial" w:hAnsi="Arial"/>
                <w:i/>
                <w:iCs/>
                <w:sz w:val="19"/>
                <w:szCs w:val="19"/>
              </w:rPr>
              <w:t xml:space="preserve">Policymakers should be clear-eyed about what GrantGuard cannot do. These three vulnerabilities require institutional, legislative, or constitutional responses.</w:t>
            </w:r>
          </w:p>
        </w:tc>
      </w:tr>
    </w:tbl>
    <w:p>
      <w:r>
        <w:rPr>
          <w:rFonts w:ascii="Arial" w:cs="Arial" w:eastAsia="Arial" w:hAnsi="Arial"/>
        </w:rPr>
        <w:t xml:space="preserve"> </w:t>
      </w:r>
    </w:p>
    <w:p>
      <w:pPr>
        <w:spacing w:after="120" w:before="80"/>
        <w:jc w:val="both"/>
      </w:pPr>
      <w:r>
        <w:rPr>
          <w:rFonts w:ascii="Arial" w:cs="Arial" w:eastAsia="Arial" w:hAnsi="Arial"/>
          <w:color w:val="222222"/>
          <w:sz w:val="20"/>
          <w:szCs w:val="20"/>
        </w:rPr>
        <w:t xml:space="preserve">Specification gaming. When a procurement consulting industry optimises proposals for scoring rubrics rather than actual project quality, no detection mechanism catches it because the proposals technically comply with all rules. The solution is partially confidential rubrics with post-submission reveal, combined with qualitative human review. This is a process reform, not a technology fix.</w:t>
      </w:r>
    </w:p>
    <w:p>
      <w:r>
        <w:rPr>
          <w:rFonts w:ascii="Arial" w:cs="Arial" w:eastAsia="Arial" w:hAnsi="Arial"/>
        </w:rPr>
        <w:t xml:space="preserve"> </w:t>
      </w:r>
    </w:p>
    <w:p>
      <w:pPr>
        <w:spacing w:after="120" w:before="80"/>
        <w:jc w:val="both"/>
      </w:pPr>
      <w:r>
        <w:rPr>
          <w:rFonts w:ascii="Arial" w:cs="Arial" w:eastAsia="Arial" w:hAnsi="Arial"/>
          <w:color w:val="222222"/>
          <w:sz w:val="20"/>
          <w:szCs w:val="20"/>
        </w:rPr>
        <w:t xml:space="preserve">Democratic capture. When reviewers systematically score politically connected applicants more favourably out of anticipated career consequences, this is detectable only in retrospect through post-award performance analysis. Technology can surface the pattern. Only institutions can address the cause.</w:t>
      </w:r>
    </w:p>
    <w:p>
      <w:r>
        <w:rPr>
          <w:rFonts w:ascii="Arial" w:cs="Arial" w:eastAsia="Arial" w:hAnsi="Arial"/>
        </w:rPr>
        <w:t xml:space="preserve"> </w:t>
      </w:r>
    </w:p>
    <w:p>
      <w:pPr>
        <w:spacing w:after="120" w:before="80"/>
        <w:jc w:val="both"/>
      </w:pPr>
      <w:r>
        <w:rPr>
          <w:rFonts w:ascii="Arial" w:cs="Arial" w:eastAsia="Arial" w:hAnsi="Arial"/>
          <w:color w:val="222222"/>
          <w:sz w:val="20"/>
          <w:szCs w:val="20"/>
        </w:rPr>
        <w:t xml:space="preserve">Complete institutional capture. If the ministry or oversight function is itself corrupt, no within-system mechanism survives. This is a constitutional problem, not a technical one.</w:t>
      </w:r>
    </w:p>
    <w:p>
      <w:r>
        <w:rPr>
          <w:rFonts w:ascii="Arial" w:cs="Arial" w:eastAsia="Arial" w:hAnsi="Arial"/>
        </w:rPr>
        <w:t xml:space="preserve"> </w:t>
      </w:r>
    </w:p>
    <w:p>
      <w:pPr>
        <w:pStyle w:val="Heading1"/>
      </w:pPr>
      <w:r>
        <w:rPr>
          <w:rFonts w:ascii="Arial" w:cs="Arial" w:eastAsia="Arial" w:hAnsi="Arial"/>
          <w:b/>
          <w:bCs/>
          <w:color w:val="1F3864"/>
          <w:sz w:val="36"/>
          <w:szCs w:val="36"/>
        </w:rPr>
        <w:t xml:space="preserve">The Economic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United States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Canada (CAD)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Combined (USD est.)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Annual procurement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$700B</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$37B (~$27B USD)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$727B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Estimated annual waste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$154B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$7.4B (~$5.4B)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$159B</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GrantGuard annual savings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$27.7B</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$1.1B (~$0.8B)</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$28.5B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10-year deployment cost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$377M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$86M (~$63M)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$440M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10-year net savings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$262B</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$10.1B (~$7.4B)</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$269B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Breakeven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Year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Year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Year 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10-year ROI</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69,000%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11,600%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61,000%+</w:t>
            </w:r>
          </w:p>
        </w:tc>
      </w:tr>
    </w:tbl>
    <w:p>
      <w:r>
        <w:rPr>
          <w:rFonts w:ascii="Arial" w:cs="Arial" w:eastAsia="Arial" w:hAnsi="Arial"/>
        </w:rPr>
        <w:t xml:space="preserve"> </w:t>
      </w:r>
    </w:p>
    <w:p>
      <w:pPr>
        <w:pStyle w:val="Heading1"/>
      </w:pPr>
      <w:r>
        <w:rPr>
          <w:rFonts w:ascii="Arial" w:cs="Arial" w:eastAsia="Arial" w:hAnsi="Arial"/>
          <w:b/>
          <w:bCs/>
          <w:color w:val="1F3864"/>
          <w:sz w:val="36"/>
          <w:szCs w:val="36"/>
        </w:rPr>
        <w:t xml:space="preserve">Five Things Policymakers Should Do</w:t>
      </w:r>
    </w:p>
    <w:p>
      <w:pPr>
        <w:pStyle w:val="ListParagraph"/>
        <w:numPr>
          <w:ilvl w:val="0"/>
          <w:numId w:val="2"/>
        </w:numPr>
        <w:spacing w:after="60" w:before="60"/>
      </w:pPr>
      <w:r>
        <w:rPr>
          <w:rFonts w:ascii="Arial" w:cs="Arial" w:eastAsia="Arial" w:hAnsi="Arial"/>
          <w:sz w:val="20"/>
          <w:szCs w:val="20"/>
        </w:rPr>
        <w:t xml:space="preserve">Mandate GrantGuard pilot for civilian contracts $1M-$50M within 18 months, with GSA as lead agency (US) or PSPC for professional services (Canada). Pilots generate the clean historical data the ML classifier needs.</w:t>
      </w:r>
    </w:p>
    <w:p>
      <w:r>
        <w:rPr>
          <w:rFonts w:ascii="Arial" w:cs="Arial" w:eastAsia="Arial" w:hAnsi="Arial"/>
        </w:rPr>
        <w:t xml:space="preserve"> </w:t>
      </w:r>
    </w:p>
    <w:p>
      <w:pPr>
        <w:pStyle w:val="ListParagraph"/>
        <w:numPr>
          <w:ilvl w:val="0"/>
          <w:numId w:val="2"/>
        </w:numPr>
        <w:spacing w:after="60" w:before="60"/>
      </w:pPr>
      <w:r>
        <w:rPr>
          <w:rFonts w:ascii="Arial" w:cs="Arial" w:eastAsia="Arial" w:hAnsi="Arial"/>
          <w:sz w:val="20"/>
          <w:szCs w:val="20"/>
        </w:rPr>
        <w:t xml:space="preserve">Strengthen False Claims Act / PSDPA whistleblower provisions. The FCA qui tam mechanism recovered $2.68B in FY2023. Canada's PSDPA offers no financial incentive and generates ~100 cases per year. Amending the PSDPA to include financial rewards for verified fraud disclosures is the single highest-leverage legislative change available.</w:t>
      </w:r>
    </w:p>
    <w:p>
      <w:r>
        <w:rPr>
          <w:rFonts w:ascii="Arial" w:cs="Arial" w:eastAsia="Arial" w:hAnsi="Arial"/>
        </w:rPr>
        <w:t xml:space="preserve"> </w:t>
      </w:r>
    </w:p>
    <w:p>
      <w:pPr>
        <w:pStyle w:val="ListParagraph"/>
        <w:numPr>
          <w:ilvl w:val="0"/>
          <w:numId w:val="2"/>
        </w:numPr>
        <w:spacing w:after="60" w:before="60"/>
      </w:pPr>
      <w:r>
        <w:rPr>
          <w:rFonts w:ascii="Arial" w:cs="Arial" w:eastAsia="Arial" w:hAnsi="Arial"/>
          <w:sz w:val="20"/>
          <w:szCs w:val="20"/>
        </w:rPr>
        <w:t xml:space="preserve">Require minimum bidder counts and bid windows in statute, not just regulation. FAR requirements for 30-day posting windows are routinely waived. Making minimum competition requirements statutory removes the discretionary space that common corruption patterns exploit.</w:t>
      </w:r>
    </w:p>
    <w:p>
      <w:r>
        <w:rPr>
          <w:rFonts w:ascii="Arial" w:cs="Arial" w:eastAsia="Arial" w:hAnsi="Arial"/>
        </w:rPr>
        <w:t xml:space="preserve"> </w:t>
      </w:r>
    </w:p>
    <w:p>
      <w:pPr>
        <w:pStyle w:val="ListParagraph"/>
        <w:numPr>
          <w:ilvl w:val="0"/>
          <w:numId w:val="2"/>
        </w:numPr>
        <w:spacing w:after="60" w:before="60"/>
      </w:pPr>
      <w:r>
        <w:rPr>
          <w:rFonts w:ascii="Arial" w:cs="Arial" w:eastAsia="Arial" w:hAnsi="Arial"/>
          <w:sz w:val="20"/>
          <w:szCs w:val="20"/>
        </w:rPr>
        <w:t xml:space="preserve">Create an independent procurement integrity office with audit authority over both procuring agencies and the evaluation process. Internal audit housed within the procuring agency is a structural conflict of interest.</w:t>
      </w:r>
    </w:p>
    <w:p>
      <w:r>
        <w:rPr>
          <w:rFonts w:ascii="Arial" w:cs="Arial" w:eastAsia="Arial" w:hAnsi="Arial"/>
        </w:rPr>
        <w:t xml:space="preserve"> </w:t>
      </w:r>
    </w:p>
    <w:p>
      <w:pPr>
        <w:pStyle w:val="ListParagraph"/>
        <w:numPr>
          <w:ilvl w:val="0"/>
          <w:numId w:val="2"/>
        </w:numPr>
        <w:spacing w:after="60" w:before="60"/>
      </w:pPr>
      <w:r>
        <w:rPr>
          <w:rFonts w:ascii="Arial" w:cs="Arial" w:eastAsia="Arial" w:hAnsi="Arial"/>
          <w:sz w:val="20"/>
          <w:szCs w:val="20"/>
        </w:rPr>
        <w:t xml:space="preserve">Begin post-quantum cryptography migration now. NIST published final PQC standards in 2024 (FIPS 203, 204, 205). Migration to ML-DSA by the 2030 deadline must begin now to avoid a crisis when quantum computing capabilities mature.</w:t>
      </w:r>
    </w:p>
    <w:p>
      <w:r>
        <w:rPr>
          <w:rFonts w:ascii="Arial" w:cs="Arial" w:eastAsia="Arial" w:hAnsi="Arial"/>
        </w:rPr>
        <w:t xml:space="preserve"> </w:t>
      </w:r>
    </w:p>
    <w:p>
      <w:pPr>
        <w:pStyle w:val="Heading1"/>
      </w:pPr>
      <w:r>
        <w:rPr>
          <w:rFonts w:ascii="Arial" w:cs="Arial" w:eastAsia="Arial" w:hAnsi="Arial"/>
          <w:b/>
          <w:bCs/>
          <w:color w:val="1F3864"/>
          <w:sz w:val="36"/>
          <w:szCs w:val="36"/>
        </w:rPr>
        <w:t xml:space="preserve">Summary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CCCCC" w:sz="2"/>
              <w:bottom w:val="single" w:color="CCCCCC" w:sz="2"/>
              <w:right w:val="single" w:color="CCCCCC" w:sz="2"/>
            </w:tcBorders>
            <w:shd w:fill="F2F2F2" w:val="clear"/>
            <w:tcMar>
              <w:top w:type="dxa" w:w="120"/>
              <w:left w:type="dxa" w:w="200"/>
              <w:bottom w:type="dxa" w:w="120"/>
              <w:right w:type="dxa" w:w="120"/>
            </w:tcMar>
          </w:tcPr>
          <w:p>
            <w:r>
              <w:rPr>
                <w:rFonts w:ascii="Arial" w:cs="Arial" w:eastAsia="Arial" w:hAnsi="Arial"/>
                <w:i/>
                <w:iCs/>
                <w:sz w:val="19"/>
                <w:szCs w:val="19"/>
              </w:rPr>
              <w:t xml:space="preserve">GrantGuard V6 is deployment-ready for 12 of 15 documented attack vectors, with formal theoretical grounding, empirical calibration to EU/US/Canadian data, and jurisdiction-specific legal compliance for both FAR and GCR/CFTA frameworks. The three remaining vulnerabilities require institutional action, not further algorithm development. The economic case across all scenarios and both jurisdictions is unambiguous. The primary constraint on deployment is institutional will, not technical readiness.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9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2026-06-18T20:31:28.222Z</dcterms:created>
  <dcterms:modified xsi:type="dcterms:W3CDTF">2026-06-18T20:31:28.222Z</dcterms:modified>
</cp:coreProperties>
</file>

<file path=docProps/custom.xml><?xml version="1.0" encoding="utf-8"?>
<Properties xmlns="http://schemas.openxmlformats.org/officeDocument/2006/custom-properties" xmlns:vt="http://schemas.openxmlformats.org/officeDocument/2006/docPropsVTypes"/>
</file>