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drawing>
          <wp:inline xmlns:a="http://schemas.openxmlformats.org/drawingml/2006/main" xmlns:pic="http://schemas.openxmlformats.org/drawingml/2006/picture">
            <wp:extent cx="3291840" cy="822960"/>
            <wp:docPr id="1" name="Picture 1" descr="Logotipo Factuzam" title="Marca Factuzam"/>
            <wp:cNvGraphicFramePr>
              <a:graphicFrameLocks noChangeAspect="1"/>
            </wp:cNvGraphicFramePr>
            <a:graphic>
              <a:graphicData uri="http://schemas.openxmlformats.org/drawingml/2006/picture">
                <pic:pic>
                  <pic:nvPicPr>
                    <pic:cNvPr id="0" name="fondo.png"/>
                    <pic:cNvPicPr/>
                  </pic:nvPicPr>
                  <pic:blipFill>
                    <a:blip r:embed="rId11"/>
                    <a:stretch>
                      <a:fillRect/>
                    </a:stretch>
                  </pic:blipFill>
                  <pic:spPr>
                    <a:xfrm>
                      <a:off x="0" y="0"/>
                      <a:ext cx="3291840" cy="822960"/>
                    </a:xfrm>
                    <a:prstGeom prst="rect"/>
                  </pic:spPr>
                </pic:pic>
              </a:graphicData>
            </a:graphic>
          </wp:inline>
        </w:drawing>
      </w:r>
    </w:p>
    <w:p>
      <w:pPr>
        <w:spacing w:before="600"/>
        <w:jc w:val="center"/>
      </w:pPr>
      <w:r>
        <w:rPr>
          <w:rFonts w:ascii="Calibri" w:hAnsi="Calibri" w:eastAsia="Calibri"/>
          <w:b/>
          <w:color w:val="1F4D78"/>
          <w:sz w:val="50"/>
        </w:rPr>
        <w:t>MANUAL DEL PROGRAMADOR</w:t>
      </w:r>
    </w:p>
    <w:p>
      <w:pPr>
        <w:jc w:val="center"/>
      </w:pPr>
      <w:r>
        <w:rPr>
          <w:rFonts w:ascii="Calibri" w:hAnsi="Calibri" w:eastAsia="Calibri"/>
          <w:b/>
          <w:color w:val="2E74B5"/>
          <w:sz w:val="68"/>
        </w:rPr>
        <w:t>FACTUZAM</w:t>
      </w:r>
    </w:p>
    <w:p>
      <w:pPr>
        <w:spacing w:before="240"/>
        <w:jc w:val="center"/>
      </w:pPr>
      <w:r>
        <w:rPr>
          <w:rFonts w:ascii="Calibri" w:hAnsi="Calibri" w:eastAsia="Calibri"/>
          <w:color w:val="666666"/>
          <w:sz w:val="28"/>
        </w:rPr>
        <w:t>Arquitectura, contratos, datos, flujos de negocio y operación</w:t>
      </w:r>
    </w:p>
    <w:p>
      <w:pPr>
        <w:spacing w:before="2200"/>
        <w:jc w:val="center"/>
      </w:pPr>
      <w:r>
        <w:rPr>
          <w:rFonts w:ascii="Calibri" w:hAnsi="Calibri" w:eastAsia="Calibri"/>
          <w:color w:val="666666"/>
          <w:sz w:val="22"/>
        </w:rPr>
        <w:t>Edición consolidada · 23 de agosto de 2026</w:t>
      </w:r>
    </w:p>
    <w:p>
      <w:pPr>
        <w:jc w:val="center"/>
      </w:pPr>
      <w:r>
        <w:rPr>
          <w:rFonts w:ascii="Calibri" w:hAnsi="Calibri" w:eastAsia="Calibri"/>
          <w:color w:val="666666"/>
          <w:sz w:val="19"/>
        </w:rPr>
        <w:t>Documento vivo · uso interno de desarrollo</w:t>
      </w:r>
    </w:p>
    <w:p>
      <w:r>
        <w:br w:type="page"/>
      </w:r>
    </w:p>
    <w:p>
      <w:r>
        <w:rPr>
          <w:b/>
        </w:rPr>
        <w:t>Edición:</w:t>
      </w:r>
      <w:r>
        <w:t xml:space="preserve"> consolidada a 23 de agosto de 2026</w:t>
      </w:r>
    </w:p>
    <w:p>
      <w:r>
        <w:rPr>
          <w:b/>
        </w:rPr>
        <w:t>Ámbito:</w:t>
      </w:r>
      <w:r>
        <w:t xml:space="preserve"> aplicación de escritorio Factuzam, herramientas de apoyo, pruebas, migraciones e integraciones</w:t>
      </w:r>
    </w:p>
    <w:p>
      <w:r>
        <w:rPr>
          <w:b/>
        </w:rPr>
        <w:t>Tecnologías principales:</w:t>
      </w:r>
      <w:r>
        <w:t xml:space="preserve"> Delphi/VCL, MariaDB/MySQL, UniDAC, DevExpress y FastReport</w:t>
      </w:r>
    </w:p>
    <w:p>
      <w:r>
        <w:rPr>
          <w:b/>
        </w:rPr>
        <w:t>Fuentes consolidadas:</w:t>
      </w:r>
      <w:r>
        <w:t xml:space="preserve"> 297 documentos — 273 Markdown, 23 textos y 1 PDF</w:t>
      </w:r>
    </w:p>
    <w:p>
      <w:r>
        <w:rPr>
          <w:b/>
        </w:rPr>
        <w:t>Estado del documento:</w:t>
      </w:r>
      <w:r>
        <w:t xml:space="preserve"> manual vivo; la ejecución y las pruebas actuales prevalecen sobre cualquier acta histórica</w:t>
      </w:r>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3000"/>
        <w:gridCol w:w="6360"/>
      </w:tblGrid>
      <w:tr>
        <w:trPr>
          <w:tblHeader w:val="true"/>
        </w:trPr>
        <w:tc>
          <w:tcPr>
            <w:tcW w:type="dxa" w:w="3000"/>
            <w:vAlign w:val="top"/>
            <w:shd w:fill="E8EEF5"/>
            <w:tcMar>
              <w:top w:w="80" w:type="dxa"/>
              <w:start w:w="120" w:type="dxa"/>
              <w:bottom w:w="80" w:type="dxa"/>
              <w:end w:w="120" w:type="dxa"/>
            </w:tcMar>
          </w:tcPr>
          <w:p>
            <w:pPr>
              <w:spacing w:after="40" w:line="252" w:lineRule="auto"/>
            </w:pPr>
            <w:r>
              <w:rPr>
                <w:b/>
                <w:color w:val="1F4D78"/>
                <w:sz w:val="18"/>
              </w:rPr>
              <w:t>Dato de control</w:t>
            </w:r>
          </w:p>
        </w:tc>
        <w:tc>
          <w:tcPr>
            <w:tcW w:type="dxa" w:w="6360"/>
            <w:vAlign w:val="top"/>
            <w:shd w:fill="E8EEF5"/>
            <w:tcMar>
              <w:top w:w="80" w:type="dxa"/>
              <w:start w:w="120" w:type="dxa"/>
              <w:bottom w:w="80" w:type="dxa"/>
              <w:end w:w="120" w:type="dxa"/>
            </w:tcMar>
          </w:tcPr>
          <w:p>
            <w:pPr>
              <w:spacing w:after="40" w:line="252" w:lineRule="auto"/>
            </w:pPr>
            <w:r>
              <w:rPr>
                <w:b/>
                <w:color w:val="1F4D78"/>
                <w:sz w:val="18"/>
              </w:rPr>
              <w:t>Valor</w:t>
            </w:r>
          </w:p>
        </w:tc>
      </w:tr>
      <w:tr>
        <w:tc>
          <w:tcPr>
            <w:tcW w:type="dxa" w:w="3000"/>
            <w:vAlign w:val="top"/>
            <w:tcMar>
              <w:top w:w="80" w:type="dxa"/>
              <w:start w:w="120" w:type="dxa"/>
              <w:bottom w:w="80" w:type="dxa"/>
              <w:end w:w="120" w:type="dxa"/>
            </w:tcMar>
          </w:tcPr>
          <w:p>
            <w:pPr>
              <w:spacing w:after="40" w:line="252" w:lineRule="auto"/>
            </w:pPr>
            <w:r>
              <w:rPr>
                <w:sz w:val="18"/>
              </w:rPr>
              <w:t>Repositorio de producción</w:t>
            </w:r>
          </w:p>
        </w:tc>
        <w:tc>
          <w:tcPr>
            <w:tcW w:type="dxa" w:w="636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C:\DISCO_DURO\proyectos\Factuzam</w:t>
            </w:r>
          </w:p>
        </w:tc>
      </w:tr>
      <w:tr>
        <w:tc>
          <w:tcPr>
            <w:tcW w:type="dxa" w:w="3000"/>
            <w:vAlign w:val="top"/>
            <w:tcMar>
              <w:top w:w="80" w:type="dxa"/>
              <w:start w:w="120" w:type="dxa"/>
              <w:bottom w:w="80" w:type="dxa"/>
              <w:end w:w="120" w:type="dxa"/>
            </w:tcMar>
          </w:tcPr>
          <w:p>
            <w:pPr>
              <w:spacing w:after="40" w:line="252" w:lineRule="auto"/>
            </w:pPr>
            <w:r>
              <w:rPr>
                <w:sz w:val="18"/>
              </w:rPr>
              <w:t>Repositorio de apoyo</w:t>
            </w:r>
          </w:p>
        </w:tc>
        <w:tc>
          <w:tcPr>
            <w:tcW w:type="dxa" w:w="636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C:\DISCO_DURO\proyectos\factuzam_web</w:t>
            </w:r>
          </w:p>
        </w:tc>
      </w:tr>
      <w:tr>
        <w:tc>
          <w:tcPr>
            <w:tcW w:type="dxa" w:w="3000"/>
            <w:vAlign w:val="top"/>
            <w:tcMar>
              <w:top w:w="80" w:type="dxa"/>
              <w:start w:w="120" w:type="dxa"/>
              <w:bottom w:w="80" w:type="dxa"/>
              <w:end w:w="120" w:type="dxa"/>
            </w:tcMar>
          </w:tcPr>
          <w:p>
            <w:pPr>
              <w:spacing w:after="40" w:line="252" w:lineRule="auto"/>
            </w:pPr>
            <w:r>
              <w:rPr>
                <w:sz w:val="18"/>
              </w:rPr>
              <w:t>Código de referencia</w:t>
            </w:r>
          </w:p>
        </w:tc>
        <w:tc>
          <w:tcPr>
            <w:tcW w:type="dxa" w:w="6360"/>
            <w:vAlign w:val="top"/>
            <w:tcMar>
              <w:top w:w="80" w:type="dxa"/>
              <w:start w:w="120" w:type="dxa"/>
              <w:bottom w:w="80" w:type="dxa"/>
              <w:end w:w="120" w:type="dxa"/>
            </w:tcMar>
          </w:tcPr>
          <w:p>
            <w:pPr>
              <w:spacing w:after="40" w:line="252" w:lineRule="auto"/>
            </w:pPr>
            <w:r>
              <w:rPr>
                <w:sz w:val="18"/>
              </w:rPr>
              <w:t xml:space="preserve">PROD, rama </w:t>
            </w:r>
            <w:r>
              <w:rPr>
                <w:rFonts w:ascii="Consolas" w:hAnsi="Consolas" w:eastAsia="Consolas"/>
                <w:color w:val="1F4D78"/>
                <w:sz w:val="18"/>
                <w:shd w:fill="F2F5F8"/>
              </w:rPr>
              <w:t>main</w:t>
            </w:r>
            <w:r>
              <w:rPr>
                <w:sz w:val="18"/>
              </w:rPr>
              <w:t xml:space="preserve">, revisión observada </w:t>
            </w:r>
            <w:r>
              <w:rPr>
                <w:rFonts w:ascii="Consolas" w:hAnsi="Consolas" w:eastAsia="Consolas"/>
                <w:color w:val="1F4D78"/>
                <w:sz w:val="18"/>
                <w:shd w:fill="F2F5F8"/>
              </w:rPr>
              <w:t>69698376</w:t>
            </w:r>
          </w:p>
        </w:tc>
      </w:tr>
      <w:tr>
        <w:tc>
          <w:tcPr>
            <w:tcW w:type="dxa" w:w="3000"/>
            <w:vAlign w:val="top"/>
            <w:tcMar>
              <w:top w:w="80" w:type="dxa"/>
              <w:start w:w="120" w:type="dxa"/>
              <w:bottom w:w="80" w:type="dxa"/>
              <w:end w:w="120" w:type="dxa"/>
            </w:tcMar>
          </w:tcPr>
          <w:p>
            <w:pPr>
              <w:spacing w:after="40" w:line="252" w:lineRule="auto"/>
            </w:pPr>
            <w:r>
              <w:rPr>
                <w:sz w:val="18"/>
              </w:rPr>
              <w:t>Material de apoyo</w:t>
            </w:r>
          </w:p>
        </w:tc>
        <w:tc>
          <w:tcPr>
            <w:tcW w:type="dxa" w:w="6360"/>
            <w:vAlign w:val="top"/>
            <w:tcMar>
              <w:top w:w="80" w:type="dxa"/>
              <w:start w:w="120" w:type="dxa"/>
              <w:bottom w:w="80" w:type="dxa"/>
              <w:end w:w="120" w:type="dxa"/>
            </w:tcMar>
          </w:tcPr>
          <w:p>
            <w:pPr>
              <w:spacing w:after="40" w:line="252" w:lineRule="auto"/>
            </w:pPr>
            <w:r>
              <w:rPr>
                <w:sz w:val="18"/>
              </w:rPr>
              <w:t xml:space="preserve">APOYO, rama </w:t>
            </w:r>
            <w:r>
              <w:rPr>
                <w:rFonts w:ascii="Consolas" w:hAnsi="Consolas" w:eastAsia="Consolas"/>
                <w:color w:val="1F4D78"/>
                <w:sz w:val="18"/>
                <w:shd w:fill="F2F5F8"/>
              </w:rPr>
              <w:t>main</w:t>
            </w:r>
            <w:r>
              <w:rPr>
                <w:sz w:val="18"/>
              </w:rPr>
              <w:t xml:space="preserve">, revisión observada </w:t>
            </w:r>
            <w:r>
              <w:rPr>
                <w:rFonts w:ascii="Consolas" w:hAnsi="Consolas" w:eastAsia="Consolas"/>
                <w:color w:val="1F4D78"/>
                <w:sz w:val="18"/>
                <w:shd w:fill="F2F5F8"/>
              </w:rPr>
              <w:t>456e9f4</w:t>
            </w:r>
          </w:p>
        </w:tc>
      </w:tr>
      <w:tr>
        <w:tc>
          <w:tcPr>
            <w:tcW w:type="dxa" w:w="3000"/>
            <w:vAlign w:val="top"/>
            <w:tcMar>
              <w:top w:w="80" w:type="dxa"/>
              <w:start w:w="120" w:type="dxa"/>
              <w:bottom w:w="80" w:type="dxa"/>
              <w:end w:w="120" w:type="dxa"/>
            </w:tcMar>
          </w:tcPr>
          <w:p>
            <w:pPr>
              <w:spacing w:after="40" w:line="252" w:lineRule="auto"/>
            </w:pPr>
            <w:r>
              <w:rPr>
                <w:sz w:val="18"/>
              </w:rPr>
              <w:t>Registro íntegro</w:t>
            </w:r>
          </w:p>
        </w:tc>
        <w:tc>
          <w:tcPr>
            <w:tcW w:type="dxa" w:w="636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FUENTES_Y_COBERTURA.md</w:t>
            </w:r>
            <w:r>
              <w:rPr>
                <w:sz w:val="18"/>
              </w:rPr>
              <w:t xml:space="preserve"> e </w:t>
            </w:r>
            <w:r>
              <w:rPr>
                <w:rFonts w:ascii="Consolas" w:hAnsi="Consolas" w:eastAsia="Consolas"/>
                <w:color w:val="1F4D78"/>
                <w:sz w:val="18"/>
                <w:shd w:fill="F2F5F8"/>
              </w:rPr>
              <w:t>inventario_fuentes.json</w:t>
            </w:r>
          </w:p>
        </w:tc>
      </w:tr>
      <w:tr>
        <w:tc>
          <w:tcPr>
            <w:tcW w:type="dxa" w:w="3000"/>
            <w:vAlign w:val="top"/>
            <w:tcMar>
              <w:top w:w="80" w:type="dxa"/>
              <w:start w:w="120" w:type="dxa"/>
              <w:bottom w:w="80" w:type="dxa"/>
              <w:end w:w="120" w:type="dxa"/>
            </w:tcMar>
          </w:tcPr>
          <w:p>
            <w:pPr>
              <w:spacing w:after="40" w:line="252" w:lineRule="auto"/>
            </w:pPr>
            <w:r>
              <w:rPr>
                <w:sz w:val="18"/>
              </w:rPr>
              <w:t>Archivo original</w:t>
            </w:r>
          </w:p>
        </w:tc>
        <w:tc>
          <w:tcPr>
            <w:tcW w:type="dxa" w:w="636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archivo_historico</w:t>
            </w:r>
            <w:r>
              <w:rPr>
                <w:sz w:val="18"/>
              </w:rPr>
              <w:t>, con rutas relativas y huellas SHA-256</w:t>
            </w:r>
          </w:p>
        </w:tc>
      </w:tr>
    </w:tbl>
    <w:p>
      <w:pPr>
        <w:spacing w:after="0"/>
      </w:pPr>
    </w:p>
    <w:tbl>
      <w:tblPr>
        <w:tblW w:type="dxa" w:w="9360"/>
        <w:jc w:val="left"/>
        <w:tblLayout w:type="fixed"/>
        <w:tblLook w:firstColumn="1" w:firstRow="1" w:lastColumn="0" w:lastRow="0" w:noHBand="0" w:noVBand="1" w:val="04A0"/>
        <w:tblInd w:w="120" w:type="dxa"/>
        <w:tblBorders>
          <w:top w:val="single" w:sz="6" w:color="FCE4D6"/>
          <w:start w:val="single" w:sz="6" w:color="FCE4D6"/>
          <w:bottom w:val="single" w:sz="6" w:color="FCE4D6"/>
          <w:end w:val="single" w:sz="6" w:color="FCE4D6"/>
          <w:insideH w:val="single" w:sz="6" w:color="FCE4D6"/>
          <w:insideV w:val="single" w:sz="6" w:color="FCE4D6"/>
        </w:tblBorders>
      </w:tblPr>
      <w:tblGrid>
        <w:gridCol w:w="9360"/>
      </w:tblGrid>
      <w:tr>
        <w:trPr>
          <w:tblHeader w:val="true"/>
        </w:trPr>
        <w:tc>
          <w:tcPr>
            <w:tcW w:type="dxa" w:w="9360"/>
            <w:shd w:fill="FCE4D6"/>
            <w:tcMar>
              <w:top w:w="80" w:type="dxa"/>
              <w:start w:w="120" w:type="dxa"/>
              <w:bottom w:w="80" w:type="dxa"/>
              <w:end w:w="120" w:type="dxa"/>
            </w:tcMar>
          </w:tcPr>
          <w:p>
            <w:pPr>
              <w:spacing w:after="0"/>
            </w:pPr>
            <w:r>
              <w:rPr>
                <w:b/>
                <w:color w:val="1F4D78"/>
              </w:rPr>
              <w:t xml:space="preserve">REGLA. </w:t>
            </w:r>
            <w:r>
              <w:t>Este libro consolida normas, diseños, planes y resultados. No todos tienen el mismo rango. Una regla vigente del código o de los libros de estilo prevalece sobre un plan antiguo; una prueba fechada acredita solo la revisión que ensayó; y una propuesta no se considera implementada hasta localizarla en código y superar sus puertas de calidad.</w:t>
            </w:r>
          </w:p>
        </w:tc>
      </w:tr>
    </w:tbl>
    <w:p>
      <w:pPr>
        <w:spacing w:after="0"/>
      </w:pPr>
    </w:p>
    <w:p>
      <w:pPr>
        <w:pStyle w:val="Heading1"/>
        <w:pageBreakBefore w:val="0"/>
      </w:pPr>
      <w:r>
        <w:t>Contenido</w:t>
      </w:r>
    </w:p>
    <w:p>
      <w:pPr>
        <w:spacing w:after="40"/>
        <w:ind w:left="0" w:firstLine="0"/>
      </w:pPr>
      <w:hyperlink w:anchor="h_001">
        <w:r>
          <w:rPr>
            <w:rStyle w:val="Hyperlink"/>
            <w:color w:val="2E74B5"/>
          </w:rPr>
          <w:t>Parte I · Orientación y gobierno</w:t>
        </w:r>
      </w:hyperlink>
    </w:p>
    <w:p>
      <w:pPr>
        <w:spacing w:after="40"/>
        <w:ind w:left="360" w:firstLine="0"/>
      </w:pPr>
      <w:hyperlink w:anchor="h_002">
        <w:r>
          <w:rPr>
            <w:rStyle w:val="Hyperlink"/>
            <w:color w:val="2E74B5"/>
          </w:rPr>
          <w:t>1. Propósito, alcance y lectura segura</w:t>
        </w:r>
      </w:hyperlink>
    </w:p>
    <w:p>
      <w:pPr>
        <w:spacing w:after="40"/>
        <w:ind w:left="360" w:firstLine="0"/>
      </w:pPr>
      <w:hyperlink w:anchor="h_007">
        <w:r>
          <w:rPr>
            <w:rStyle w:val="Hyperlink"/>
            <w:color w:val="2E74B5"/>
          </w:rPr>
          <w:t>2. Los dos repositorios y el mapa del sistema</w:t>
        </w:r>
      </w:hyperlink>
    </w:p>
    <w:p>
      <w:pPr>
        <w:spacing w:after="40"/>
        <w:ind w:left="360" w:firstLine="0"/>
      </w:pPr>
      <w:hyperlink w:anchor="h_012">
        <w:r>
          <w:rPr>
            <w:rStyle w:val="Hyperlink"/>
            <w:color w:val="2E74B5"/>
          </w:rPr>
          <w:t>3. Gobierno, licencia y material de terceros</w:t>
        </w:r>
      </w:hyperlink>
    </w:p>
    <w:p>
      <w:pPr>
        <w:spacing w:after="40"/>
        <w:ind w:left="0" w:firstLine="0"/>
      </w:pPr>
      <w:hyperlink w:anchor="h_016">
        <w:r>
          <w:rPr>
            <w:rStyle w:val="Hyperlink"/>
            <w:color w:val="2E74B5"/>
          </w:rPr>
          <w:t>Parte II · Arquitectura, contratos e interfaces</w:t>
        </w:r>
      </w:hyperlink>
    </w:p>
    <w:p>
      <w:pPr>
        <w:spacing w:after="40"/>
        <w:ind w:left="360" w:firstLine="0"/>
      </w:pPr>
      <w:hyperlink w:anchor="h_017">
        <w:r>
          <w:rPr>
            <w:rStyle w:val="Hyperlink"/>
            <w:color w:val="2E74B5"/>
          </w:rPr>
          <w:t>4. Principios de diseño que sí condicionan el código</w:t>
        </w:r>
      </w:hyperlink>
    </w:p>
    <w:p>
      <w:pPr>
        <w:spacing w:after="40"/>
        <w:ind w:left="360" w:firstLine="0"/>
      </w:pPr>
      <w:hyperlink w:anchor="h_022">
        <w:r>
          <w:rPr>
            <w:rStyle w:val="Hyperlink"/>
            <w:color w:val="2E74B5"/>
          </w:rPr>
          <w:t>5. Interfaces nuevas que afectan a los documentos</w:t>
        </w:r>
      </w:hyperlink>
    </w:p>
    <w:p>
      <w:pPr>
        <w:spacing w:after="40"/>
        <w:ind w:left="360" w:firstLine="0"/>
      </w:pPr>
      <w:hyperlink w:anchor="h_036">
        <w:r>
          <w:rPr>
            <w:rStyle w:val="Hyperlink"/>
            <w:color w:val="2E74B5"/>
          </w:rPr>
          <w:t>6. Composición, ciclo de vida y trabajo en segundo plano</w:t>
        </w:r>
      </w:hyperlink>
    </w:p>
    <w:p>
      <w:pPr>
        <w:spacing w:after="40"/>
        <w:ind w:left="0" w:firstLine="0"/>
      </w:pPr>
      <w:hyperlink w:anchor="h_040">
        <w:r>
          <w:rPr>
            <w:rStyle w:val="Hyperlink"/>
            <w:color w:val="2E74B5"/>
          </w:rPr>
          <w:t>Parte III · Delphi, base de datos y entrega</w:t>
        </w:r>
      </w:hyperlink>
    </w:p>
    <w:p>
      <w:pPr>
        <w:spacing w:after="40"/>
        <w:ind w:left="360" w:firstLine="0"/>
      </w:pPr>
      <w:hyperlink w:anchor="h_041">
        <w:r>
          <w:rPr>
            <w:rStyle w:val="Hyperlink"/>
            <w:color w:val="2E74B5"/>
          </w:rPr>
          <w:t>7. Convenciones Delphi/VCL</w:t>
        </w:r>
      </w:hyperlink>
    </w:p>
    <w:p>
      <w:pPr>
        <w:spacing w:after="40"/>
        <w:ind w:left="360" w:firstLine="0"/>
      </w:pPr>
      <w:hyperlink w:anchor="h_046">
        <w:r>
          <w:rPr>
            <w:rStyle w:val="Hyperlink"/>
            <w:color w:val="2E74B5"/>
          </w:rPr>
          <w:t>8. Libro de estilo de base de datos</w:t>
        </w:r>
      </w:hyperlink>
    </w:p>
    <w:p>
      <w:pPr>
        <w:spacing w:after="40"/>
        <w:ind w:left="360" w:firstLine="0"/>
      </w:pPr>
      <w:hyperlink w:anchor="h_050">
        <w:r>
          <w:rPr>
            <w:rStyle w:val="Hyperlink"/>
            <w:color w:val="2E74B5"/>
          </w:rPr>
          <w:t>9. Perfiles SQL y catálogo de operaciones</w:t>
        </w:r>
      </w:hyperlink>
    </w:p>
    <w:p>
      <w:pPr>
        <w:spacing w:after="40"/>
        <w:ind w:left="360" w:firstLine="0"/>
      </w:pPr>
      <w:hyperlink w:anchor="h_054">
        <w:r>
          <w:rPr>
            <w:rStyle w:val="Hyperlink"/>
            <w:color w:val="2E74B5"/>
          </w:rPr>
          <w:t>10. Compilación y pruebas</w:t>
        </w:r>
      </w:hyperlink>
    </w:p>
    <w:p>
      <w:pPr>
        <w:spacing w:after="40"/>
        <w:ind w:left="0" w:firstLine="0"/>
      </w:pPr>
      <w:hyperlink w:anchor="h_058">
        <w:r>
          <w:rPr>
            <w:rStyle w:val="Hyperlink"/>
            <w:color w:val="2E74B5"/>
          </w:rPr>
          <w:t>Parte IV · Dominios y documentos comerciales</w:t>
        </w:r>
      </w:hyperlink>
    </w:p>
    <w:p>
      <w:pPr>
        <w:spacing w:after="40"/>
        <w:ind w:left="360" w:firstLine="0"/>
      </w:pPr>
      <w:hyperlink w:anchor="h_059">
        <w:r>
          <w:rPr>
            <w:rStyle w:val="Hyperlink"/>
            <w:color w:val="2E74B5"/>
          </w:rPr>
          <w:t>11. Catálogo, artículos, SKU, atributos y fotos</w:t>
        </w:r>
      </w:hyperlink>
    </w:p>
    <w:p>
      <w:pPr>
        <w:spacing w:after="40"/>
        <w:ind w:left="360" w:firstLine="0"/>
      </w:pPr>
      <w:hyperlink w:anchor="h_063">
        <w:r>
          <w:rPr>
            <w:rStyle w:val="Hyperlink"/>
            <w:color w:val="2E74B5"/>
          </w:rPr>
          <w:t>12. Compras y proveedores</w:t>
        </w:r>
      </w:hyperlink>
    </w:p>
    <w:p>
      <w:pPr>
        <w:spacing w:after="40"/>
        <w:ind w:left="360" w:firstLine="0"/>
      </w:pPr>
      <w:hyperlink w:anchor="h_068">
        <w:r>
          <w:rPr>
            <w:rStyle w:val="Hyperlink"/>
            <w:color w:val="2E74B5"/>
          </w:rPr>
          <w:t>13. Ventas, facturas y movimientos</w:t>
        </w:r>
      </w:hyperlink>
    </w:p>
    <w:p>
      <w:pPr>
        <w:spacing w:after="40"/>
        <w:ind w:left="360" w:firstLine="0"/>
      </w:pPr>
      <w:hyperlink w:anchor="h_072">
        <w:r>
          <w:rPr>
            <w:rStyle w:val="Hyperlink"/>
            <w:color w:val="2E74B5"/>
          </w:rPr>
          <w:t>14. Inventario, stock, PMP y balances</w:t>
        </w:r>
      </w:hyperlink>
    </w:p>
    <w:p>
      <w:pPr>
        <w:spacing w:after="40"/>
        <w:ind w:left="360" w:firstLine="0"/>
      </w:pPr>
      <w:hyperlink w:anchor="h_076">
        <w:r>
          <w:rPr>
            <w:rStyle w:val="Hyperlink"/>
            <w:color w:val="2E74B5"/>
          </w:rPr>
          <w:t>15. Caja, TPV, tesorería y pagos</w:t>
        </w:r>
      </w:hyperlink>
    </w:p>
    <w:p>
      <w:pPr>
        <w:spacing w:after="40"/>
        <w:ind w:left="360" w:firstLine="0"/>
      </w:pPr>
      <w:hyperlink w:anchor="h_080">
        <w:r>
          <w:rPr>
            <w:rStyle w:val="Hyperlink"/>
            <w:color w:val="2E74B5"/>
          </w:rPr>
          <w:t>16. Informes, impresión, Excel y PDF</w:t>
        </w:r>
      </w:hyperlink>
    </w:p>
    <w:p>
      <w:pPr>
        <w:spacing w:after="40"/>
        <w:ind w:left="0" w:firstLine="0"/>
      </w:pPr>
      <w:hyperlink w:anchor="h_083">
        <w:r>
          <w:rPr>
            <w:rStyle w:val="Hyperlink"/>
            <w:color w:val="2E74B5"/>
          </w:rPr>
          <w:t>Parte V · Fiscalidad e integraciones</w:t>
        </w:r>
      </w:hyperlink>
    </w:p>
    <w:p>
      <w:pPr>
        <w:spacing w:after="40"/>
        <w:ind w:left="360" w:firstLine="0"/>
      </w:pPr>
      <w:hyperlink w:anchor="h_084">
        <w:r>
          <w:rPr>
            <w:rStyle w:val="Hyperlink"/>
            <w:color w:val="2E74B5"/>
          </w:rPr>
          <w:t>17. Modos fiscales, VeriFactu y registro de eventos</w:t>
        </w:r>
      </w:hyperlink>
    </w:p>
    <w:p>
      <w:pPr>
        <w:spacing w:after="40"/>
        <w:ind w:left="360" w:firstLine="0"/>
      </w:pPr>
      <w:hyperlink w:anchor="h_088">
        <w:r>
          <w:rPr>
            <w:rStyle w:val="Hyperlink"/>
            <w:color w:val="2E74B5"/>
          </w:rPr>
          <w:t>18. Facturae 3.2.2</w:t>
        </w:r>
      </w:hyperlink>
    </w:p>
    <w:p>
      <w:pPr>
        <w:spacing w:after="40"/>
        <w:ind w:left="360" w:firstLine="0"/>
      </w:pPr>
      <w:hyperlink w:anchor="h_089">
        <w:r>
          <w:rPr>
            <w:rStyle w:val="Hyperlink"/>
            <w:color w:val="2E74B5"/>
          </w:rPr>
          <w:t>19. PrestaShop</w:t>
        </w:r>
      </w:hyperlink>
    </w:p>
    <w:p>
      <w:pPr>
        <w:spacing w:after="40"/>
        <w:ind w:left="360" w:firstLine="0"/>
      </w:pPr>
      <w:hyperlink w:anchor="h_093">
        <w:r>
          <w:rPr>
            <w:rStyle w:val="Hyperlink"/>
            <w:color w:val="2E74B5"/>
          </w:rPr>
          <w:t>20. Servicios web, API PHP, ventas WS y MCP</w:t>
        </w:r>
      </w:hyperlink>
    </w:p>
    <w:p>
      <w:pPr>
        <w:spacing w:after="40"/>
        <w:ind w:left="0" w:firstLine="0"/>
      </w:pPr>
      <w:hyperlink w:anchor="h_097">
        <w:r>
          <w:rPr>
            <w:rStyle w:val="Hyperlink"/>
            <w:color w:val="2E74B5"/>
          </w:rPr>
          <w:t>Parte VI · Evolución, operación y calidad</w:t>
        </w:r>
      </w:hyperlink>
    </w:p>
    <w:p>
      <w:pPr>
        <w:spacing w:after="40"/>
        <w:ind w:left="360" w:firstLine="0"/>
      </w:pPr>
      <w:hyperlink w:anchor="h_098">
        <w:r>
          <w:rPr>
            <w:rStyle w:val="Hyperlink"/>
            <w:color w:val="2E74B5"/>
          </w:rPr>
          <w:t>21. Refactorización: cronología frente a estado actual</w:t>
        </w:r>
      </w:hyperlink>
    </w:p>
    <w:p>
      <w:pPr>
        <w:spacing w:after="40"/>
        <w:ind w:left="360" w:firstLine="0"/>
      </w:pPr>
      <w:hyperlink w:anchor="h_102">
        <w:r>
          <w:rPr>
            <w:rStyle w:val="Hyperlink"/>
            <w:color w:val="2E74B5"/>
          </w:rPr>
          <w:t>22. Protocolo de trabajo coordinado</w:t>
        </w:r>
      </w:hyperlink>
    </w:p>
    <w:p>
      <w:pPr>
        <w:spacing w:after="40"/>
        <w:ind w:left="360" w:firstLine="0"/>
      </w:pPr>
      <w:hyperlink w:anchor="h_106">
        <w:r>
          <w:rPr>
            <w:rStyle w:val="Hyperlink"/>
            <w:color w:val="2E74B5"/>
          </w:rPr>
          <w:t>23. Recetas de diagnóstico</w:t>
        </w:r>
      </w:hyperlink>
    </w:p>
    <w:p>
      <w:pPr>
        <w:spacing w:after="40"/>
        <w:ind w:left="360" w:firstLine="0"/>
      </w:pPr>
      <w:hyperlink w:anchor="h_112">
        <w:r>
          <w:rPr>
            <w:rStyle w:val="Hyperlink"/>
            <w:color w:val="2E74B5"/>
          </w:rPr>
          <w:t>24. Definición de terminado</w:t>
        </w:r>
      </w:hyperlink>
    </w:p>
    <w:p>
      <w:pPr>
        <w:spacing w:after="40"/>
        <w:ind w:left="0" w:firstLine="0"/>
      </w:pPr>
      <w:hyperlink w:anchor="h_113">
        <w:r>
          <w:rPr>
            <w:rStyle w:val="Hyperlink"/>
            <w:color w:val="2E74B5"/>
          </w:rPr>
          <w:t>Parte VII · Mantenimiento del conocimiento</w:t>
        </w:r>
      </w:hyperlink>
    </w:p>
    <w:p>
      <w:pPr>
        <w:spacing w:after="40"/>
        <w:ind w:left="360" w:firstLine="0"/>
      </w:pPr>
      <w:hyperlink w:anchor="h_114">
        <w:r>
          <w:rPr>
            <w:rStyle w:val="Hyperlink"/>
            <w:color w:val="2E74B5"/>
          </w:rPr>
          <w:t>25. Cómo actualizar este libro</w:t>
        </w:r>
      </w:hyperlink>
    </w:p>
    <w:p>
      <w:pPr>
        <w:spacing w:after="40"/>
        <w:ind w:left="360" w:firstLine="0"/>
      </w:pPr>
      <w:hyperlink w:anchor="h_118">
        <w:r>
          <w:rPr>
            <w:rStyle w:val="Hyperlink"/>
            <w:color w:val="2E74B5"/>
          </w:rPr>
          <w:t>26. Glosario rápido</w:t>
        </w:r>
      </w:hyperlink>
    </w:p>
    <w:p>
      <w:pPr>
        <w:spacing w:after="40"/>
        <w:ind w:left="0" w:firstLine="0"/>
      </w:pPr>
      <w:hyperlink w:anchor="h_119">
        <w:r>
          <w:rPr>
            <w:rStyle w:val="Hyperlink"/>
            <w:color w:val="2E74B5"/>
          </w:rPr>
          <w:t>Anexo A · Lista rápida antes de tocar documentos</w:t>
        </w:r>
      </w:hyperlink>
    </w:p>
    <w:p>
      <w:pPr>
        <w:spacing w:after="40"/>
        <w:ind w:left="0" w:firstLine="0"/>
      </w:pPr>
      <w:hyperlink w:anchor="h_120">
        <w:r>
          <w:rPr>
            <w:rStyle w:val="Hyperlink"/>
            <w:color w:val="2E74B5"/>
          </w:rPr>
          <w:t>Anexo B · Fuentes, archivo y trazabilidad</w:t>
        </w:r>
      </w:hyperlink>
    </w:p>
    <w:p>
      <w:r>
        <w:br w:type="page"/>
      </w:r>
    </w:p>
    <w:p>
      <w:bookmarkStart w:id="10" w:name="h_001"/>
      <w:pPr>
        <w:pStyle w:val="Heading1"/>
        <w:pageBreakBefore/>
      </w:pPr>
      <w:r>
        <w:t>Parte I · Orientación y gobierno</w:t>
      </w:r>
      <w:bookmarkEnd w:id="10"/>
    </w:p>
    <w:p>
      <w:bookmarkStart w:id="11" w:name="h_002"/>
      <w:pPr>
        <w:pStyle w:val="Heading2"/>
      </w:pPr>
      <w:r>
        <w:t>1. Propósito, alcance y lectura segura</w:t>
      </w:r>
      <w:bookmarkEnd w:id="11"/>
    </w:p>
    <w:p>
      <w:bookmarkStart w:id="12" w:name="h_003"/>
      <w:pPr>
        <w:pStyle w:val="Heading3"/>
      </w:pPr>
      <w:r>
        <w:t>1.1 Qué resuelve este manual</w:t>
      </w:r>
      <w:bookmarkEnd w:id="12"/>
    </w:p>
    <w:p>
      <w:r>
        <w:t>Factuzam es una aplicación de gestión empresarial de escritorio con un núcleo Delphi/VCL y persistencia MariaDB. El sistema cubre catálogo, compras, ventas, documentos comerciales, stock, caja, cobros y pagos, impresión, fiscalidad e integraciones web. Su historia técnica incluye una refactorización extensa: parte del comportamiento continúa en formularios y módulos de datos heredados y parte ya está aislada en contratos, casos de uso, repositorios y presentadores.</w:t>
      </w:r>
    </w:p>
    <w:p>
      <w:r>
        <w:t>Este manual convierte el corpus disperso en una ruta de trabajo única. Explica dónde vive cada responsabilidad, cómo se conectan las capas, qué invariantes protegen los documentos y qué pruebas deben ejecutarse. No sustituye el análisis del código: lo orienta y deja trazabilidad hasta la fuente original.</w:t>
      </w:r>
    </w:p>
    <w:p>
      <w:r>
        <w:t>El lector debe distinguir cuatro clases de contenido:</w:t>
      </w:r>
    </w:p>
    <w:p>
      <w:pPr>
        <w:pStyle w:val="ListBullet"/>
        <w:numPr>
          <w:ilvl w:val="0"/>
          <w:numId w:val="10"/>
        </w:numPr>
      </w:pPr>
      <w:r>
        <w:rPr>
          <w:b/>
        </w:rPr>
        <w:t>Norma vigente.</w:t>
      </w:r>
      <w:r>
        <w:t xml:space="preserve"> Libros de estilo, reglas del repositorio y restricciones confirmadas en el código.</w:t>
      </w:r>
    </w:p>
    <w:p>
      <w:pPr>
        <w:pStyle w:val="ListBullet"/>
        <w:numPr>
          <w:ilvl w:val="0"/>
          <w:numId w:val="10"/>
        </w:numPr>
      </w:pPr>
      <w:r>
        <w:rPr>
          <w:b/>
        </w:rPr>
        <w:t>Arquitectura observada.</w:t>
      </w:r>
      <w:r>
        <w:t xml:space="preserve"> Contratos y composiciones presentes en la revisión indicada.</w:t>
      </w:r>
    </w:p>
    <w:p>
      <w:pPr>
        <w:pStyle w:val="ListBullet"/>
        <w:numPr>
          <w:ilvl w:val="0"/>
          <w:numId w:val="10"/>
        </w:numPr>
      </w:pPr>
      <w:r>
        <w:rPr>
          <w:b/>
        </w:rPr>
        <w:t>Diseño o plan.</w:t>
      </w:r>
      <w:r>
        <w:t xml:space="preserve"> Decisión preparada, pero todavía sujeta a implementación y validación.</w:t>
      </w:r>
    </w:p>
    <w:p>
      <w:pPr>
        <w:pStyle w:val="ListBullet"/>
        <w:numPr>
          <w:ilvl w:val="0"/>
          <w:numId w:val="10"/>
        </w:numPr>
      </w:pPr>
      <w:r>
        <w:rPr>
          <w:b/>
        </w:rPr>
        <w:t>Evidencia histórica.</w:t>
      </w:r>
      <w:r>
        <w:t xml:space="preserve"> Resultado de una prueba o fase, válido para la revisión y entorno que documenta.</w:t>
      </w:r>
    </w:p>
    <w:p>
      <w:bookmarkStart w:id="13" w:name="h_004"/>
      <w:pPr>
        <w:pStyle w:val="Heading3"/>
      </w:pPr>
      <w:r>
        <w:t>1.2 Orden de precedencia</w:t>
      </w:r>
      <w:bookmarkEnd w:id="13"/>
    </w:p>
    <w:p>
      <w:r>
        <w:t>Cuando dos fuentes discrepan, se usa este orden:</w:t>
      </w:r>
    </w:p>
    <w:p>
      <w:pPr>
        <w:pStyle w:val="ListNumber"/>
        <w:numPr>
          <w:ilvl w:val="0"/>
          <w:numId w:val="11"/>
        </w:numPr>
      </w:pPr>
      <w:r>
        <w:t>Comportamiento reproducible del código actual y restricciones legales.</w:t>
      </w:r>
    </w:p>
    <w:p>
      <w:pPr>
        <w:pStyle w:val="ListNumber"/>
        <w:numPr>
          <w:ilvl w:val="0"/>
          <w:numId w:val="11"/>
        </w:numPr>
      </w:pPr>
      <w:r>
        <w:t>Reglas locales de los repositorios y libros de estilo vigentes.</w:t>
      </w:r>
    </w:p>
    <w:p>
      <w:pPr>
        <w:pStyle w:val="ListNumber"/>
        <w:numPr>
          <w:ilvl w:val="0"/>
          <w:numId w:val="11"/>
        </w:numPr>
      </w:pPr>
      <w:r>
        <w:t>Pruebas automatizadas y comprobadores ejecutados sobre la revisión actual.</w:t>
      </w:r>
    </w:p>
    <w:p>
      <w:pPr>
        <w:pStyle w:val="ListNumber"/>
        <w:numPr>
          <w:ilvl w:val="0"/>
          <w:numId w:val="11"/>
        </w:numPr>
      </w:pPr>
      <w:r>
        <w:t>Especificaciones funcionales recientes que no contradigan lo anterior.</w:t>
      </w:r>
    </w:p>
    <w:p>
      <w:pPr>
        <w:pStyle w:val="ListNumber"/>
        <w:numPr>
          <w:ilvl w:val="0"/>
          <w:numId w:val="11"/>
        </w:numPr>
      </w:pPr>
      <w:r>
        <w:t>Planes, actas de fase e informes históricos.</w:t>
      </w:r>
    </w:p>
    <w:p>
      <w:r>
        <w:t>Una frase como «terminado», «PASA» o «sin commit» no debe trasladarse sin fecha y revisión. Setenta y tres documentos históricos relevantes describen trabajo sin commit; además, algunas piezas previstas fueron sustituidas por otra solución. Por ejemplo, un catálogo central de pantallas quedó desplazado por autorregistro distribuido. La práctica correcta es buscar la unidad o símbolo citado, revisar sus consumidores y volver a ejecutar las puertas.</w:t>
      </w:r>
    </w:p>
    <w:p>
      <w:bookmarkStart w:id="14" w:name="h_005"/>
      <w:pPr>
        <w:pStyle w:val="Heading3"/>
      </w:pPr>
      <w:r>
        <w:t>1.3 Estados usados en el libro</w:t>
      </w:r>
      <w:bookmarkEnd w:id="14"/>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2200"/>
        <w:gridCol w:w="3500"/>
        <w:gridCol w:w="3660"/>
      </w:tblGrid>
      <w:tr>
        <w:trPr>
          <w:tblHeader w:val="true"/>
        </w:trPr>
        <w:tc>
          <w:tcPr>
            <w:tcW w:type="dxa" w:w="2200"/>
            <w:vAlign w:val="top"/>
            <w:shd w:fill="E8EEF5"/>
            <w:tcMar>
              <w:top w:w="80" w:type="dxa"/>
              <w:start w:w="120" w:type="dxa"/>
              <w:bottom w:w="80" w:type="dxa"/>
              <w:end w:w="120" w:type="dxa"/>
            </w:tcMar>
          </w:tcPr>
          <w:p>
            <w:pPr>
              <w:spacing w:after="40" w:line="252" w:lineRule="auto"/>
            </w:pPr>
            <w:r>
              <w:rPr>
                <w:b/>
                <w:color w:val="1F4D78"/>
                <w:sz w:val="18"/>
              </w:rPr>
              <w:t>Marca</w:t>
            </w:r>
          </w:p>
        </w:tc>
        <w:tc>
          <w:tcPr>
            <w:tcW w:type="dxa" w:w="3500"/>
            <w:vAlign w:val="top"/>
            <w:shd w:fill="E8EEF5"/>
            <w:tcMar>
              <w:top w:w="80" w:type="dxa"/>
              <w:start w:w="120" w:type="dxa"/>
              <w:bottom w:w="80" w:type="dxa"/>
              <w:end w:w="120" w:type="dxa"/>
            </w:tcMar>
          </w:tcPr>
          <w:p>
            <w:pPr>
              <w:spacing w:after="40" w:line="252" w:lineRule="auto"/>
            </w:pPr>
            <w:r>
              <w:rPr>
                <w:b/>
                <w:color w:val="1F4D78"/>
                <w:sz w:val="18"/>
              </w:rPr>
              <w:t>Significado</w:t>
            </w:r>
          </w:p>
        </w:tc>
        <w:tc>
          <w:tcPr>
            <w:tcW w:type="dxa" w:w="3660"/>
            <w:vAlign w:val="top"/>
            <w:shd w:fill="E8EEF5"/>
            <w:tcMar>
              <w:top w:w="80" w:type="dxa"/>
              <w:start w:w="120" w:type="dxa"/>
              <w:bottom w:w="80" w:type="dxa"/>
              <w:end w:w="120" w:type="dxa"/>
            </w:tcMar>
          </w:tcPr>
          <w:p>
            <w:pPr>
              <w:spacing w:after="40" w:line="252" w:lineRule="auto"/>
            </w:pPr>
            <w:r>
              <w:rPr>
                <w:b/>
                <w:color w:val="1F4D78"/>
                <w:sz w:val="18"/>
              </w:rPr>
              <w:t>Acción del programador</w:t>
            </w:r>
          </w:p>
        </w:tc>
      </w:tr>
      <w:tr>
        <w:tc>
          <w:tcPr>
            <w:tcW w:type="dxa" w:w="2200"/>
            <w:vAlign w:val="top"/>
            <w:tcMar>
              <w:top w:w="80" w:type="dxa"/>
              <w:start w:w="120" w:type="dxa"/>
              <w:bottom w:w="80" w:type="dxa"/>
              <w:end w:w="120" w:type="dxa"/>
            </w:tcMar>
          </w:tcPr>
          <w:p>
            <w:pPr>
              <w:spacing w:after="40" w:line="252" w:lineRule="auto"/>
            </w:pPr>
            <w:r>
              <w:rPr>
                <w:sz w:val="18"/>
              </w:rPr>
              <w:t>VIGENTE</w:t>
            </w:r>
          </w:p>
        </w:tc>
        <w:tc>
          <w:tcPr>
            <w:tcW w:type="dxa" w:w="3500"/>
            <w:vAlign w:val="top"/>
            <w:tcMar>
              <w:top w:w="80" w:type="dxa"/>
              <w:start w:w="120" w:type="dxa"/>
              <w:bottom w:w="80" w:type="dxa"/>
              <w:end w:w="120" w:type="dxa"/>
            </w:tcMar>
          </w:tcPr>
          <w:p>
            <w:pPr>
              <w:spacing w:after="40" w:line="252" w:lineRule="auto"/>
            </w:pPr>
            <w:r>
              <w:rPr>
                <w:sz w:val="18"/>
              </w:rPr>
              <w:t>Presente en código o norma actual</w:t>
            </w:r>
          </w:p>
        </w:tc>
        <w:tc>
          <w:tcPr>
            <w:tcW w:type="dxa" w:w="3660"/>
            <w:vAlign w:val="top"/>
            <w:tcMar>
              <w:top w:w="80" w:type="dxa"/>
              <w:start w:w="120" w:type="dxa"/>
              <w:bottom w:w="80" w:type="dxa"/>
              <w:end w:w="120" w:type="dxa"/>
            </w:tcMar>
          </w:tcPr>
          <w:p>
            <w:pPr>
              <w:spacing w:after="40" w:line="252" w:lineRule="auto"/>
            </w:pPr>
            <w:r>
              <w:rPr>
                <w:sz w:val="18"/>
              </w:rPr>
              <w:t>Mantener compatibilidad y cubrir con pruebas</w:t>
            </w:r>
          </w:p>
        </w:tc>
      </w:tr>
      <w:tr>
        <w:tc>
          <w:tcPr>
            <w:tcW w:type="dxa" w:w="2200"/>
            <w:vAlign w:val="top"/>
            <w:tcMar>
              <w:top w:w="80" w:type="dxa"/>
              <w:start w:w="120" w:type="dxa"/>
              <w:bottom w:w="80" w:type="dxa"/>
              <w:end w:w="120" w:type="dxa"/>
            </w:tcMar>
          </w:tcPr>
          <w:p>
            <w:pPr>
              <w:spacing w:after="40" w:line="252" w:lineRule="auto"/>
            </w:pPr>
            <w:r>
              <w:rPr>
                <w:sz w:val="18"/>
              </w:rPr>
              <w:t>PARCIAL</w:t>
            </w:r>
          </w:p>
        </w:tc>
        <w:tc>
          <w:tcPr>
            <w:tcW w:type="dxa" w:w="3500"/>
            <w:vAlign w:val="top"/>
            <w:tcMar>
              <w:top w:w="80" w:type="dxa"/>
              <w:start w:w="120" w:type="dxa"/>
              <w:bottom w:w="80" w:type="dxa"/>
              <w:end w:w="120" w:type="dxa"/>
            </w:tcMar>
          </w:tcPr>
          <w:p>
            <w:pPr>
              <w:spacing w:after="40" w:line="252" w:lineRule="auto"/>
            </w:pPr>
            <w:r>
              <w:rPr>
                <w:sz w:val="18"/>
              </w:rPr>
              <w:t>Existe, pero quedan escenarios o deuda conocidos</w:t>
            </w:r>
          </w:p>
        </w:tc>
        <w:tc>
          <w:tcPr>
            <w:tcW w:type="dxa" w:w="3660"/>
            <w:vAlign w:val="top"/>
            <w:tcMar>
              <w:top w:w="80" w:type="dxa"/>
              <w:start w:w="120" w:type="dxa"/>
              <w:bottom w:w="80" w:type="dxa"/>
              <w:end w:w="120" w:type="dxa"/>
            </w:tcMar>
          </w:tcPr>
          <w:p>
            <w:pPr>
              <w:spacing w:after="40" w:line="252" w:lineRule="auto"/>
            </w:pPr>
            <w:r>
              <w:rPr>
                <w:sz w:val="18"/>
              </w:rPr>
              <w:t>No ampliar el alcance sin cerrar riesgos</w:t>
            </w:r>
          </w:p>
        </w:tc>
      </w:tr>
      <w:tr>
        <w:tc>
          <w:tcPr>
            <w:tcW w:type="dxa" w:w="2200"/>
            <w:vAlign w:val="top"/>
            <w:tcMar>
              <w:top w:w="80" w:type="dxa"/>
              <w:start w:w="120" w:type="dxa"/>
              <w:bottom w:w="80" w:type="dxa"/>
              <w:end w:w="120" w:type="dxa"/>
            </w:tcMar>
          </w:tcPr>
          <w:p>
            <w:pPr>
              <w:spacing w:after="40" w:line="252" w:lineRule="auto"/>
            </w:pPr>
            <w:r>
              <w:rPr>
                <w:sz w:val="18"/>
              </w:rPr>
              <w:t>PROPUESTO</w:t>
            </w:r>
          </w:p>
        </w:tc>
        <w:tc>
          <w:tcPr>
            <w:tcW w:type="dxa" w:w="3500"/>
            <w:vAlign w:val="top"/>
            <w:tcMar>
              <w:top w:w="80" w:type="dxa"/>
              <w:start w:w="120" w:type="dxa"/>
              <w:bottom w:w="80" w:type="dxa"/>
              <w:end w:w="120" w:type="dxa"/>
            </w:tcMar>
          </w:tcPr>
          <w:p>
            <w:pPr>
              <w:spacing w:after="40" w:line="252" w:lineRule="auto"/>
            </w:pPr>
            <w:r>
              <w:rPr>
                <w:sz w:val="18"/>
              </w:rPr>
              <w:t>Diseño sin evidencia completa de implementación</w:t>
            </w:r>
          </w:p>
        </w:tc>
        <w:tc>
          <w:tcPr>
            <w:tcW w:type="dxa" w:w="3660"/>
            <w:vAlign w:val="top"/>
            <w:tcMar>
              <w:top w:w="80" w:type="dxa"/>
              <w:start w:w="120" w:type="dxa"/>
              <w:bottom w:w="80" w:type="dxa"/>
              <w:end w:w="120" w:type="dxa"/>
            </w:tcMar>
          </w:tcPr>
          <w:p>
            <w:pPr>
              <w:spacing w:after="40" w:line="252" w:lineRule="auto"/>
            </w:pPr>
            <w:r>
              <w:rPr>
                <w:sz w:val="18"/>
              </w:rPr>
              <w:t>No invocar como API disponible</w:t>
            </w:r>
          </w:p>
        </w:tc>
      </w:tr>
      <w:tr>
        <w:tc>
          <w:tcPr>
            <w:tcW w:type="dxa" w:w="2200"/>
            <w:vAlign w:val="top"/>
            <w:tcMar>
              <w:top w:w="80" w:type="dxa"/>
              <w:start w:w="120" w:type="dxa"/>
              <w:bottom w:w="80" w:type="dxa"/>
              <w:end w:w="120" w:type="dxa"/>
            </w:tcMar>
          </w:tcPr>
          <w:p>
            <w:pPr>
              <w:spacing w:after="40" w:line="252" w:lineRule="auto"/>
            </w:pPr>
            <w:r>
              <w:rPr>
                <w:sz w:val="18"/>
              </w:rPr>
              <w:t>HISTÓRICO</w:t>
            </w:r>
          </w:p>
        </w:tc>
        <w:tc>
          <w:tcPr>
            <w:tcW w:type="dxa" w:w="3500"/>
            <w:vAlign w:val="top"/>
            <w:tcMar>
              <w:top w:w="80" w:type="dxa"/>
              <w:start w:w="120" w:type="dxa"/>
              <w:bottom w:w="80" w:type="dxa"/>
              <w:end w:w="120" w:type="dxa"/>
            </w:tcMar>
          </w:tcPr>
          <w:p>
            <w:pPr>
              <w:spacing w:after="40" w:line="252" w:lineRule="auto"/>
            </w:pPr>
            <w:r>
              <w:rPr>
                <w:sz w:val="18"/>
              </w:rPr>
              <w:t>Foto fechada o solución reemplazada</w:t>
            </w:r>
          </w:p>
        </w:tc>
        <w:tc>
          <w:tcPr>
            <w:tcW w:type="dxa" w:w="3660"/>
            <w:vAlign w:val="top"/>
            <w:tcMar>
              <w:top w:w="80" w:type="dxa"/>
              <w:start w:w="120" w:type="dxa"/>
              <w:bottom w:w="80" w:type="dxa"/>
              <w:end w:w="120" w:type="dxa"/>
            </w:tcMar>
          </w:tcPr>
          <w:p>
            <w:pPr>
              <w:spacing w:after="40" w:line="252" w:lineRule="auto"/>
            </w:pPr>
            <w:r>
              <w:rPr>
                <w:sz w:val="18"/>
              </w:rPr>
              <w:t>Usar para contexto y regresiones</w:t>
            </w:r>
          </w:p>
        </w:tc>
      </w:tr>
      <w:tr>
        <w:tc>
          <w:tcPr>
            <w:tcW w:type="dxa" w:w="2200"/>
            <w:vAlign w:val="top"/>
            <w:tcMar>
              <w:top w:w="80" w:type="dxa"/>
              <w:start w:w="120" w:type="dxa"/>
              <w:bottom w:w="80" w:type="dxa"/>
              <w:end w:w="120" w:type="dxa"/>
            </w:tcMar>
          </w:tcPr>
          <w:p>
            <w:pPr>
              <w:spacing w:after="40" w:line="252" w:lineRule="auto"/>
            </w:pPr>
            <w:r>
              <w:rPr>
                <w:sz w:val="18"/>
              </w:rPr>
              <w:t>VERIFICAR</w:t>
            </w:r>
          </w:p>
        </w:tc>
        <w:tc>
          <w:tcPr>
            <w:tcW w:type="dxa" w:w="3500"/>
            <w:vAlign w:val="top"/>
            <w:tcMar>
              <w:top w:w="80" w:type="dxa"/>
              <w:start w:w="120" w:type="dxa"/>
              <w:bottom w:w="80" w:type="dxa"/>
              <w:end w:w="120" w:type="dxa"/>
            </w:tcMar>
          </w:tcPr>
          <w:p>
            <w:pPr>
              <w:spacing w:after="40" w:line="252" w:lineRule="auto"/>
            </w:pPr>
            <w:r>
              <w:rPr>
                <w:sz w:val="18"/>
              </w:rPr>
              <w:t>La fuente y el código pueden haber derivado</w:t>
            </w:r>
          </w:p>
        </w:tc>
        <w:tc>
          <w:tcPr>
            <w:tcW w:type="dxa" w:w="3660"/>
            <w:vAlign w:val="top"/>
            <w:tcMar>
              <w:top w:w="80" w:type="dxa"/>
              <w:start w:w="120" w:type="dxa"/>
              <w:bottom w:w="80" w:type="dxa"/>
              <w:end w:w="120" w:type="dxa"/>
            </w:tcMar>
          </w:tcPr>
          <w:p>
            <w:pPr>
              <w:spacing w:after="40" w:line="252" w:lineRule="auto"/>
            </w:pPr>
            <w:r>
              <w:rPr>
                <w:sz w:val="18"/>
              </w:rPr>
              <w:t>Ejecutar búsquedas y puertas antes de decidir</w:t>
            </w:r>
          </w:p>
        </w:tc>
      </w:tr>
    </w:tbl>
    <w:p>
      <w:pPr>
        <w:spacing w:after="0"/>
      </w:pPr>
    </w:p>
    <w:p>
      <w:bookmarkStart w:id="15" w:name="h_006"/>
      <w:pPr>
        <w:pStyle w:val="Heading3"/>
      </w:pPr>
      <w:r>
        <w:t>1.4 Uso diario</w:t>
      </w:r>
      <w:bookmarkEnd w:id="15"/>
    </w:p>
    <w:p>
      <w:r>
        <w:t>Para iniciar una tarea, localice primero el flujo funcional en las Partes IV y V. Después identifique los contratos de la Parte II, la persistencia en la Parte III y la lista de pruebas en la Parte VI. Si el cambio toca una tabla, consulte además el capítulo de migraciones; si toca una factura, albarán, pedido, devolución, efecto o ticket, aplique el protocolo documental completo.</w:t>
      </w:r>
    </w:p>
    <w:tbl>
      <w:tblPr>
        <w:tblW w:type="dxa" w:w="9360"/>
        <w:jc w:val="left"/>
        <w:tblLayout w:type="fixed"/>
        <w:tblLook w:firstColumn="1" w:firstRow="1" w:lastColumn="0" w:lastRow="0" w:noHBand="0" w:noVBand="1" w:val="04A0"/>
        <w:tblInd w:w="120" w:type="dxa"/>
        <w:tblBorders>
          <w:top w:val="single" w:sz="6" w:color="E2F0D9"/>
          <w:start w:val="single" w:sz="6" w:color="E2F0D9"/>
          <w:bottom w:val="single" w:sz="6" w:color="E2F0D9"/>
          <w:end w:val="single" w:sz="6" w:color="E2F0D9"/>
          <w:insideH w:val="single" w:sz="6" w:color="E2F0D9"/>
          <w:insideV w:val="single" w:sz="6" w:color="E2F0D9"/>
        </w:tblBorders>
      </w:tblPr>
      <w:tblGrid>
        <w:gridCol w:w="9360"/>
      </w:tblGrid>
      <w:tr>
        <w:trPr>
          <w:tblHeader w:val="true"/>
        </w:trPr>
        <w:tc>
          <w:tcPr>
            <w:tcW w:type="dxa" w:w="9360"/>
            <w:shd w:fill="E2F0D9"/>
            <w:tcMar>
              <w:top w:w="80" w:type="dxa"/>
              <w:start w:w="120" w:type="dxa"/>
              <w:bottom w:w="80" w:type="dxa"/>
              <w:end w:w="120" w:type="dxa"/>
            </w:tcMar>
          </w:tcPr>
          <w:p>
            <w:pPr>
              <w:spacing w:after="0"/>
            </w:pPr>
            <w:r>
              <w:rPr>
                <w:b/>
                <w:color w:val="1F4D78"/>
              </w:rPr>
              <w:t xml:space="preserve">PRÁCTICA. </w:t>
            </w:r>
            <w:r>
              <w:t xml:space="preserve">La matriz </w:t>
            </w:r>
            <w:r>
              <w:rPr>
                <w:rFonts w:ascii="Consolas" w:hAnsi="Consolas" w:eastAsia="Consolas"/>
                <w:color w:val="1F4D78"/>
                <w:sz w:val="18"/>
                <w:shd w:fill="F2F5F8"/>
              </w:rPr>
              <w:t>FUENTES_Y_COBERTURA.md</w:t>
            </w:r>
            <w:r>
              <w:t xml:space="preserve"> conserva las 297 fuentes, su ciclo de vida y su SHA-256. Es la entrada adecuada cuando se necesita reconstruir por qué existe una decisión concreta.</w:t>
            </w:r>
          </w:p>
        </w:tc>
      </w:tr>
    </w:tbl>
    <w:p>
      <w:pPr>
        <w:spacing w:after="0"/>
      </w:pPr>
    </w:p>
    <w:p>
      <w:bookmarkStart w:id="16" w:name="h_007"/>
      <w:pPr>
        <w:pStyle w:val="Heading2"/>
      </w:pPr>
      <w:r>
        <w:t>2. Los dos repositorios y el mapa del sistema</w:t>
      </w:r>
      <w:bookmarkEnd w:id="16"/>
    </w:p>
    <w:p>
      <w:bookmarkStart w:id="17" w:name="h_008"/>
      <w:pPr>
        <w:pStyle w:val="Heading3"/>
      </w:pPr>
      <w:r>
        <w:t>2.1 PROD y APOYO</w:t>
      </w:r>
      <w:bookmarkEnd w:id="17"/>
    </w:p>
    <w:p>
      <w:r>
        <w:t>El trabajo se reparte entre dos árboles con propósitos distintos:</w:t>
      </w:r>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2200"/>
        <w:gridCol w:w="3500"/>
        <w:gridCol w:w="3660"/>
      </w:tblGrid>
      <w:tr>
        <w:trPr>
          <w:tblHeader w:val="true"/>
        </w:trPr>
        <w:tc>
          <w:tcPr>
            <w:tcW w:type="dxa" w:w="2200"/>
            <w:vAlign w:val="top"/>
            <w:shd w:fill="E8EEF5"/>
            <w:tcMar>
              <w:top w:w="80" w:type="dxa"/>
              <w:start w:w="120" w:type="dxa"/>
              <w:bottom w:w="80" w:type="dxa"/>
              <w:end w:w="120" w:type="dxa"/>
            </w:tcMar>
          </w:tcPr>
          <w:p>
            <w:pPr>
              <w:spacing w:after="40" w:line="252" w:lineRule="auto"/>
            </w:pPr>
            <w:r>
              <w:rPr>
                <w:b/>
                <w:color w:val="1F4D78"/>
                <w:sz w:val="18"/>
              </w:rPr>
              <w:t>Árbol</w:t>
            </w:r>
          </w:p>
        </w:tc>
        <w:tc>
          <w:tcPr>
            <w:tcW w:type="dxa" w:w="3500"/>
            <w:vAlign w:val="top"/>
            <w:shd w:fill="E8EEF5"/>
            <w:tcMar>
              <w:top w:w="80" w:type="dxa"/>
              <w:start w:w="120" w:type="dxa"/>
              <w:bottom w:w="80" w:type="dxa"/>
              <w:end w:w="120" w:type="dxa"/>
            </w:tcMar>
          </w:tcPr>
          <w:p>
            <w:pPr>
              <w:spacing w:after="40" w:line="252" w:lineRule="auto"/>
            </w:pPr>
            <w:r>
              <w:rPr>
                <w:b/>
                <w:color w:val="1F4D78"/>
                <w:sz w:val="18"/>
              </w:rPr>
              <w:t>Responsabilidad</w:t>
            </w:r>
          </w:p>
        </w:tc>
        <w:tc>
          <w:tcPr>
            <w:tcW w:type="dxa" w:w="3660"/>
            <w:vAlign w:val="top"/>
            <w:shd w:fill="E8EEF5"/>
            <w:tcMar>
              <w:top w:w="80" w:type="dxa"/>
              <w:start w:w="120" w:type="dxa"/>
              <w:bottom w:w="80" w:type="dxa"/>
              <w:end w:w="120" w:type="dxa"/>
            </w:tcMar>
          </w:tcPr>
          <w:p>
            <w:pPr>
              <w:spacing w:after="40" w:line="252" w:lineRule="auto"/>
            </w:pPr>
            <w:r>
              <w:rPr>
                <w:b/>
                <w:color w:val="1F4D78"/>
                <w:sz w:val="18"/>
              </w:rPr>
              <w:t>Contenido esperado</w:t>
            </w:r>
          </w:p>
        </w:tc>
      </w:tr>
      <w:tr>
        <w:tc>
          <w:tcPr>
            <w:tcW w:type="dxa" w:w="2200"/>
            <w:vAlign w:val="top"/>
            <w:tcMar>
              <w:top w:w="80" w:type="dxa"/>
              <w:start w:w="120" w:type="dxa"/>
              <w:bottom w:w="80" w:type="dxa"/>
              <w:end w:w="120" w:type="dxa"/>
            </w:tcMar>
          </w:tcPr>
          <w:p>
            <w:pPr>
              <w:spacing w:after="40" w:line="252" w:lineRule="auto"/>
            </w:pPr>
            <w:r>
              <w:rPr>
                <w:sz w:val="18"/>
              </w:rPr>
              <w:t xml:space="preserve">PROD · </w:t>
            </w:r>
            <w:r>
              <w:rPr>
                <w:rFonts w:ascii="Consolas" w:hAnsi="Consolas" w:eastAsia="Consolas"/>
                <w:color w:val="1F4D78"/>
                <w:sz w:val="18"/>
                <w:shd w:fill="F2F5F8"/>
              </w:rPr>
              <w:t>Factuzam</w:t>
            </w:r>
          </w:p>
        </w:tc>
        <w:tc>
          <w:tcPr>
            <w:tcW w:type="dxa" w:w="3500"/>
            <w:vAlign w:val="top"/>
            <w:tcMar>
              <w:top w:w="80" w:type="dxa"/>
              <w:start w:w="120" w:type="dxa"/>
              <w:bottom w:w="80" w:type="dxa"/>
              <w:end w:w="120" w:type="dxa"/>
            </w:tcMar>
          </w:tcPr>
          <w:p>
            <w:pPr>
              <w:spacing w:after="40" w:line="252" w:lineRule="auto"/>
            </w:pPr>
            <w:r>
              <w:rPr>
                <w:sz w:val="18"/>
              </w:rPr>
              <w:t>Producto ejecutable</w:t>
            </w:r>
          </w:p>
        </w:tc>
        <w:tc>
          <w:tcPr>
            <w:tcW w:type="dxa" w:w="3660"/>
            <w:vAlign w:val="top"/>
            <w:tcMar>
              <w:top w:w="80" w:type="dxa"/>
              <w:start w:w="120" w:type="dxa"/>
              <w:bottom w:w="80" w:type="dxa"/>
              <w:end w:w="120" w:type="dxa"/>
            </w:tcMar>
          </w:tcPr>
          <w:p>
            <w:pPr>
              <w:spacing w:after="40" w:line="252" w:lineRule="auto"/>
            </w:pPr>
            <w:r>
              <w:rPr>
                <w:sz w:val="18"/>
              </w:rPr>
              <w:t>Proyecto Delphi, unidades, formularios, módulos de datos, recursos y scripts de compilación</w:t>
            </w:r>
          </w:p>
        </w:tc>
      </w:tr>
      <w:tr>
        <w:tc>
          <w:tcPr>
            <w:tcW w:type="dxa" w:w="2200"/>
            <w:vAlign w:val="top"/>
            <w:tcMar>
              <w:top w:w="80" w:type="dxa"/>
              <w:start w:w="120" w:type="dxa"/>
              <w:bottom w:w="80" w:type="dxa"/>
              <w:end w:w="120" w:type="dxa"/>
            </w:tcMar>
          </w:tcPr>
          <w:p>
            <w:pPr>
              <w:spacing w:after="40" w:line="252" w:lineRule="auto"/>
            </w:pPr>
            <w:r>
              <w:rPr>
                <w:sz w:val="18"/>
              </w:rPr>
              <w:t xml:space="preserve">APOYO · </w:t>
            </w:r>
            <w:r>
              <w:rPr>
                <w:rFonts w:ascii="Consolas" w:hAnsi="Consolas" w:eastAsia="Consolas"/>
                <w:color w:val="1F4D78"/>
                <w:sz w:val="18"/>
                <w:shd w:fill="F2F5F8"/>
              </w:rPr>
              <w:t>factuzam_web</w:t>
            </w:r>
          </w:p>
        </w:tc>
        <w:tc>
          <w:tcPr>
            <w:tcW w:type="dxa" w:w="3500"/>
            <w:vAlign w:val="top"/>
            <w:tcMar>
              <w:top w:w="80" w:type="dxa"/>
              <w:start w:w="120" w:type="dxa"/>
              <w:bottom w:w="80" w:type="dxa"/>
              <w:end w:w="120" w:type="dxa"/>
            </w:tcMar>
          </w:tcPr>
          <w:p>
            <w:pPr>
              <w:spacing w:after="40" w:line="252" w:lineRule="auto"/>
            </w:pPr>
            <w:r>
              <w:rPr>
                <w:sz w:val="18"/>
              </w:rPr>
              <w:t>Evolución y comprobación</w:t>
            </w:r>
          </w:p>
        </w:tc>
        <w:tc>
          <w:tcPr>
            <w:tcW w:type="dxa" w:w="3660"/>
            <w:vAlign w:val="top"/>
            <w:tcMar>
              <w:top w:w="80" w:type="dxa"/>
              <w:start w:w="120" w:type="dxa"/>
              <w:bottom w:w="80" w:type="dxa"/>
              <w:end w:w="120" w:type="dxa"/>
            </w:tcMar>
          </w:tcPr>
          <w:p>
            <w:pPr>
              <w:spacing w:after="40" w:line="252" w:lineRule="auto"/>
            </w:pPr>
            <w:r>
              <w:rPr>
                <w:sz w:val="18"/>
              </w:rPr>
              <w:t>Pruebas, comprobadores, migraciones SQL, documentación, laboratorios e integraciones auxiliares</w:t>
            </w:r>
          </w:p>
        </w:tc>
      </w:tr>
    </w:tbl>
    <w:p>
      <w:pPr>
        <w:spacing w:after="0"/>
      </w:pPr>
    </w:p>
    <w:p>
      <w:r>
        <w:t xml:space="preserve">La separación evita mezclar binarios, planes y evidencia con el producto. Los cambios de esquema viven como scripts SQL idempotentes en </w:t>
      </w:r>
      <w:r>
        <w:rPr>
          <w:rFonts w:ascii="Consolas" w:hAnsi="Consolas" w:eastAsia="Consolas"/>
          <w:color w:val="1F4D78"/>
          <w:sz w:val="18"/>
          <w:shd w:fill="F2F5F8"/>
        </w:rPr>
        <w:t>DESARROLLOS EN CURSO</w:t>
      </w:r>
      <w:r>
        <w:t xml:space="preserve">; </w:t>
      </w:r>
      <w:r>
        <w:rPr>
          <w:rFonts w:ascii="Consolas" w:hAnsi="Consolas" w:eastAsia="Consolas"/>
          <w:color w:val="1F4D78"/>
          <w:sz w:val="18"/>
          <w:shd w:fill="F2F5F8"/>
        </w:rPr>
        <w:t>factuzam_original.sql</w:t>
      </w:r>
      <w:r>
        <w:t xml:space="preserve"> es una referencia y no se modifica. Tras la consolidación de este manual, fuera de </w:t>
      </w:r>
      <w:r>
        <w:rPr>
          <w:rFonts w:ascii="Consolas" w:hAnsi="Consolas" w:eastAsia="Consolas"/>
          <w:color w:val="1F4D78"/>
          <w:sz w:val="18"/>
          <w:shd w:fill="F2F5F8"/>
        </w:rPr>
        <w:t>manual programador</w:t>
      </w:r>
      <w:r>
        <w:t xml:space="preserve"> se conservan únicamente los scripts SQL de desarrollo.</w:t>
      </w:r>
    </w:p>
    <w:p>
      <w:bookmarkStart w:id="18" w:name="h_009"/>
      <w:pPr>
        <w:pStyle w:val="Heading3"/>
      </w:pPr>
      <w:r>
        <w:t>2.2 Directorios técnicos de PROD</w:t>
      </w:r>
      <w:bookmarkEnd w:id="18"/>
    </w:p>
    <w:p>
      <w:pPr>
        <w:pStyle w:val="ListBullet"/>
        <w:numPr>
          <w:ilvl w:val="0"/>
          <w:numId w:val="12"/>
        </w:numPr>
      </w:pPr>
      <w:r>
        <w:rPr>
          <w:rFonts w:ascii="Consolas" w:hAnsi="Consolas" w:eastAsia="Consolas"/>
          <w:color w:val="1F4D78"/>
          <w:sz w:val="18"/>
          <w:shd w:fill="F2F5F8"/>
        </w:rPr>
        <w:t>src/Forms</w:t>
      </w:r>
      <w:r>
        <w:t xml:space="preserve"> y </w:t>
      </w:r>
      <w:r>
        <w:rPr>
          <w:rFonts w:ascii="Consolas" w:hAnsi="Consolas" w:eastAsia="Consolas"/>
          <w:color w:val="1F4D78"/>
          <w:sz w:val="18"/>
          <w:shd w:fill="F2F5F8"/>
        </w:rPr>
        <w:t>src/Modals</w:t>
      </w:r>
      <w:r>
        <w:t>: interfaz VCL y adaptación de eventos.</w:t>
      </w:r>
    </w:p>
    <w:p>
      <w:pPr>
        <w:pStyle w:val="ListBullet"/>
        <w:numPr>
          <w:ilvl w:val="0"/>
          <w:numId w:val="12"/>
        </w:numPr>
      </w:pPr>
      <w:r>
        <w:rPr>
          <w:rFonts w:ascii="Consolas" w:hAnsi="Consolas" w:eastAsia="Consolas"/>
          <w:color w:val="1F4D78"/>
          <w:sz w:val="18"/>
          <w:shd w:fill="F2F5F8"/>
        </w:rPr>
        <w:t>src/DataModules</w:t>
      </w:r>
      <w:r>
        <w:t>: adaptadores UniDAC, consultas, persistencia y composición ligada a datos.</w:t>
      </w:r>
    </w:p>
    <w:p>
      <w:pPr>
        <w:pStyle w:val="ListBullet"/>
        <w:numPr>
          <w:ilvl w:val="0"/>
          <w:numId w:val="12"/>
        </w:numPr>
      </w:pPr>
      <w:r>
        <w:rPr>
          <w:rFonts w:ascii="Consolas" w:hAnsi="Consolas" w:eastAsia="Consolas"/>
          <w:color w:val="1F4D78"/>
          <w:sz w:val="18"/>
          <w:shd w:fill="F2F5F8"/>
        </w:rPr>
        <w:t>src/Lib</w:t>
      </w:r>
      <w:r>
        <w:t>: contratos, servicios de dominio/aplicación, presentadores y utilidades compartidas.</w:t>
      </w:r>
    </w:p>
    <w:p>
      <w:pPr>
        <w:pStyle w:val="ListBullet"/>
        <w:numPr>
          <w:ilvl w:val="0"/>
          <w:numId w:val="12"/>
        </w:numPr>
      </w:pPr>
      <w:r>
        <w:rPr>
          <w:rFonts w:ascii="Consolas" w:hAnsi="Consolas" w:eastAsia="Consolas"/>
          <w:color w:val="1F4D78"/>
          <w:sz w:val="18"/>
          <w:shd w:fill="F2F5F8"/>
        </w:rPr>
        <w:t>src/Caja</w:t>
      </w:r>
      <w:r>
        <w:t>: dominio, presentación y persistencia específicos de caja/TPV.</w:t>
      </w:r>
    </w:p>
    <w:p>
      <w:pPr>
        <w:pStyle w:val="ListBullet"/>
        <w:numPr>
          <w:ilvl w:val="0"/>
          <w:numId w:val="12"/>
        </w:numPr>
      </w:pPr>
      <w:r>
        <w:rPr>
          <w:rFonts w:ascii="Consolas" w:hAnsi="Consolas" w:eastAsia="Consolas"/>
          <w:color w:val="1F4D78"/>
          <w:sz w:val="18"/>
          <w:shd w:fill="F2F5F8"/>
        </w:rPr>
        <w:t>src/verifactu</w:t>
      </w:r>
      <w:r>
        <w:t>: emisión fiscal, cola, registro de eventos y modos VeriFactu.</w:t>
      </w:r>
    </w:p>
    <w:p>
      <w:pPr>
        <w:pStyle w:val="ListBullet"/>
        <w:numPr>
          <w:ilvl w:val="0"/>
          <w:numId w:val="12"/>
        </w:numPr>
      </w:pPr>
      <w:r>
        <w:rPr>
          <w:rFonts w:ascii="Consolas" w:hAnsi="Consolas" w:eastAsia="Consolas"/>
          <w:color w:val="1F4D78"/>
          <w:sz w:val="18"/>
          <w:shd w:fill="F2F5F8"/>
        </w:rPr>
        <w:t>src/Core</w:t>
      </w:r>
      <w:r>
        <w:t>: arranque, comandos y coordinación transversal.</w:t>
      </w:r>
    </w:p>
    <w:p>
      <w:pPr>
        <w:pStyle w:val="ListBullet"/>
        <w:numPr>
          <w:ilvl w:val="0"/>
          <w:numId w:val="12"/>
        </w:numPr>
      </w:pPr>
      <w:r>
        <w:rPr>
          <w:rFonts w:ascii="Consolas" w:hAnsi="Consolas" w:eastAsia="Consolas"/>
          <w:color w:val="1F4D78"/>
          <w:sz w:val="18"/>
          <w:shd w:fill="F2F5F8"/>
        </w:rPr>
        <w:t>eng</w:t>
      </w:r>
      <w:r>
        <w:t>: compilación reproducible y utilidades de ingeniería.</w:t>
      </w:r>
    </w:p>
    <w:p>
      <w:pPr>
        <w:pStyle w:val="ListBullet"/>
        <w:numPr>
          <w:ilvl w:val="0"/>
          <w:numId w:val="12"/>
        </w:numPr>
      </w:pPr>
      <w:r>
        <w:rPr>
          <w:rFonts w:ascii="Consolas" w:hAnsi="Consolas" w:eastAsia="Consolas"/>
          <w:color w:val="1F4D78"/>
          <w:sz w:val="18"/>
          <w:shd w:fill="F2F5F8"/>
        </w:rPr>
        <w:t>build/reproducible</w:t>
      </w:r>
      <w:r>
        <w:t>: salida prevista del proceso reproducible; no es fuente.</w:t>
      </w:r>
    </w:p>
    <w:p>
      <w:bookmarkStart w:id="19" w:name="h_010"/>
      <w:pPr>
        <w:pStyle w:val="Heading3"/>
      </w:pPr>
      <w:r>
        <w:t>2.3 Flujo de dependencias</w:t>
      </w:r>
      <w:bookmarkEnd w:id="19"/>
    </w:p>
    <w:p>
      <w:r>
        <w:t>La dirección deseada es de la interfaz hacia la aplicación y de esta hacia contratos de dominio y persistencia. VCL, UniDAC, DevExpress y FastReport quedan en adaptadores externos.</w:t>
      </w:r>
    </w:p>
    <w:p>
      <w:pPr>
        <w:pStyle w:val="CodeBlock"/>
        <w:keepLines/>
        <w:shd w:fill="F2F5F8"/>
      </w:pPr>
      <w:r>
        <w:t>Formulario / modal VCL</w:t>
        <w:br/>
        <w:t xml:space="preserve">        │ eventos y DTO</w:t>
        <w:br/>
        <w:t xml:space="preserve">        ▼</w:t>
        <w:br/>
        <w:t>Presentador o caso de uso ───► contratos de dominio</w:t>
        <w:br/>
        <w:t xml:space="preserve">        │</w:t>
        <w:br/>
        <w:t xml:space="preserve">        ▼</w:t>
        <w:br/>
        <w:t>Interfaces de repositorio / unidad de trabajo</w:t>
        <w:br/>
        <w:t xml:space="preserve">        │ implementadas por</w:t>
        <w:br/>
        <w:t xml:space="preserve">        ▼</w:t>
        <w:br/>
        <w:t>UniData / MariaDB          Adaptadores fiscales, impresión y web</w:t>
      </w:r>
    </w:p>
    <w:p>
      <w:r>
        <w:t xml:space="preserve">Las unidades </w:t>
      </w:r>
      <w:r>
        <w:rPr>
          <w:rFonts w:ascii="Consolas" w:hAnsi="Consolas" w:eastAsia="Consolas"/>
          <w:color w:val="1F4D78"/>
          <w:sz w:val="18"/>
          <w:shd w:fill="F2F5F8"/>
        </w:rPr>
        <w:t>inLib*</w:t>
      </w:r>
      <w:r>
        <w:t xml:space="preserve"> no deben abrir consultas UniDAC ni depender de formularios. Los formularios no deben contener SQL de dominio ni decidir por sí solos transacciones. Los módulos de datos implementan puertos; la composición conecta implementaciones concretas en el borde.</w:t>
      </w:r>
    </w:p>
    <w:p>
      <w:bookmarkStart w:id="20" w:name="h_011"/>
      <w:pPr>
        <w:pStyle w:val="Heading3"/>
      </w:pPr>
      <w:r>
        <w:t>2.4 Composición actual</w:t>
      </w:r>
      <w:bookmarkEnd w:id="20"/>
    </w:p>
    <w:p>
      <w:r>
        <w:t>La composición se ha ido descentralizando. Muchas pantallas y módulos de datos se autorregistran; no debe reintroducirse un registro central que obligue a editar una unidad monolítica por cada alta. El estado observado presenta decenas de pantallas y módulos registrados y los comprobadores de registro, acoplamiento, formularios delgados y dependencias ocultas pasan. Aun así, el sistema mantiene deuda en interfaces grandes, SQL en lugares indebidos, tamaños y métodos largos; las cifras cambian y deben regenerarse.</w:t>
      </w:r>
    </w:p>
    <w:p>
      <w:bookmarkStart w:id="21" w:name="h_012"/>
      <w:pPr>
        <w:pStyle w:val="Heading2"/>
      </w:pPr>
      <w:r>
        <w:t>3. Gobierno, licencia y material de terceros</w:t>
      </w:r>
      <w:bookmarkEnd w:id="21"/>
    </w:p>
    <w:p>
      <w:bookmarkStart w:id="22" w:name="h_013"/>
      <w:pPr>
        <w:pStyle w:val="Heading3"/>
      </w:pPr>
      <w:r>
        <w:t>3.1 Licencia y contribuciones</w:t>
      </w:r>
      <w:bookmarkEnd w:id="22"/>
    </w:p>
    <w:p>
      <w:r>
        <w:t>El código propio se distribuye bajo MPL 2.0. Una contribución aceptada conserva la autoría y queda sometida a esa licencia. No se deben incorporar fuentes, paquetes, binarios, claves ni recursos de proveedores comerciales. Delphi/VCL, DevExpress, UniDAC y FastReport requieren sus licencias correspondientes; los componentes JEDI y cualquier otra biblioteca conservan sus propios avisos.</w:t>
      </w:r>
    </w:p>
    <w:p>
      <w:r>
        <w:t>Antes de publicar una rama o paquete:</w:t>
      </w:r>
    </w:p>
    <w:p>
      <w:pPr>
        <w:pStyle w:val="ListBullet"/>
        <w:numPr>
          <w:ilvl w:val="0"/>
          <w:numId w:val="13"/>
        </w:numPr>
      </w:pPr>
      <w:r>
        <w:t>comprobar que no contiene credenciales, rutas privadas, volcados, datos personales ni archivos de licencia;</w:t>
      </w:r>
    </w:p>
    <w:p>
      <w:pPr>
        <w:pStyle w:val="ListBullet"/>
        <w:numPr>
          <w:ilvl w:val="0"/>
          <w:numId w:val="13"/>
        </w:numPr>
      </w:pPr>
      <w:r>
        <w:t>conservar avisos de copyright y SPDX en archivos nuevos cuando proceda;</w:t>
      </w:r>
    </w:p>
    <w:p>
      <w:pPr>
        <w:pStyle w:val="ListBullet"/>
        <w:numPr>
          <w:ilvl w:val="0"/>
          <w:numId w:val="13"/>
        </w:numPr>
      </w:pPr>
      <w:r>
        <w:t>revisar las obligaciones de las dependencias incluidas;</w:t>
      </w:r>
    </w:p>
    <w:p>
      <w:pPr>
        <w:pStyle w:val="ListBullet"/>
        <w:numPr>
          <w:ilvl w:val="0"/>
          <w:numId w:val="13"/>
        </w:numPr>
      </w:pPr>
      <w:r>
        <w:t>declarar el uso material de IA conforme a la política del proyecto;</w:t>
      </w:r>
    </w:p>
    <w:p>
      <w:pPr>
        <w:pStyle w:val="ListBullet"/>
        <w:numPr>
          <w:ilvl w:val="0"/>
          <w:numId w:val="13"/>
        </w:numPr>
      </w:pPr>
      <w:r>
        <w:t>no publicar artefactos generados que incorporen componentes comerciales.</w:t>
      </w:r>
    </w:p>
    <w:p>
      <w:bookmarkStart w:id="23" w:name="h_014"/>
      <w:pPr>
        <w:pStyle w:val="Heading3"/>
      </w:pPr>
      <w:r>
        <w:t>3.2 Datos y secretos</w:t>
      </w:r>
      <w:bookmarkEnd w:id="23"/>
    </w:p>
    <w:p>
      <w:r>
        <w:t xml:space="preserve">Los logs deben permitir correlación sin exponer contraseñas, tokens, URL con credenciales, certificados, rutas sensibles ni contenido fiscal innecesario. Los clientes web deben usar almacenes de credenciales y tokens opacos por instalación; el tenant se deriva del token, no de un parámetro confiado al cliente. Las herramientas MCP de consulta deben ejecutarse con usuario MariaDB de solo lectura, ligado a </w:t>
      </w:r>
      <w:r>
        <w:rPr>
          <w:rFonts w:ascii="Consolas" w:hAnsi="Consolas" w:eastAsia="Consolas"/>
          <w:color w:val="1F4D78"/>
          <w:sz w:val="18"/>
          <w:shd w:fill="F2F5F8"/>
        </w:rPr>
        <w:t>localhost</w:t>
      </w:r>
      <w:r>
        <w:t xml:space="preserve"> o protegido mediante HTTPS/túnel.</w:t>
      </w:r>
    </w:p>
    <w:p>
      <w:bookmarkStart w:id="24" w:name="h_015"/>
      <w:pPr>
        <w:pStyle w:val="Heading3"/>
      </w:pPr>
      <w:r>
        <w:t>3.3 Qué no se automatiza desde Pascal</w:t>
      </w:r>
      <w:bookmarkEnd w:id="24"/>
    </w:p>
    <w:p>
      <w:r>
        <w:t xml:space="preserve">El ejecutable no instala ni modifica procedimientos, funciones, triggers o esquema de forma oportunista. Todo DDL se entrega como migración SQL idempotente, revisable y ejecutable dos veces. Las referencias antiguas a métodos como </w:t>
      </w:r>
      <w:r>
        <w:rPr>
          <w:rFonts w:ascii="Consolas" w:hAnsi="Consolas" w:eastAsia="Consolas"/>
          <w:color w:val="1F4D78"/>
          <w:sz w:val="18"/>
          <w:shd w:fill="F2F5F8"/>
        </w:rPr>
        <w:t>InstalarProcedimientos</w:t>
      </w:r>
      <w:r>
        <w:t xml:space="preserve"> se consideran históricas y no autorizan recuperar esa práctica.</w:t>
      </w:r>
    </w:p>
    <w:p>
      <w:bookmarkStart w:id="25" w:name="h_016"/>
      <w:pPr>
        <w:pStyle w:val="Heading1"/>
        <w:pageBreakBefore/>
      </w:pPr>
      <w:r>
        <w:t>Parte II · Arquitectura, contratos e interfaces</w:t>
      </w:r>
      <w:bookmarkEnd w:id="25"/>
    </w:p>
    <w:p>
      <w:bookmarkStart w:id="26" w:name="h_017"/>
      <w:pPr>
        <w:pStyle w:val="Heading2"/>
      </w:pPr>
      <w:r>
        <w:t>4. Principios de diseño que sí condicionan el código</w:t>
      </w:r>
      <w:bookmarkEnd w:id="26"/>
    </w:p>
    <w:p>
      <w:bookmarkStart w:id="27" w:name="h_018"/>
      <w:pPr>
        <w:pStyle w:val="Heading3"/>
      </w:pPr>
      <w:r>
        <w:t>4.1 Responsabilidad y tamaño</w:t>
      </w:r>
      <w:bookmarkEnd w:id="27"/>
    </w:p>
    <w:p>
      <w:r>
        <w:t>Una unidad debe tener una razón principal de cambio. En VCL esto suele significar separar: vista, coordinación de caso de uso, reglas de negocio, lecturas, escrituras y composición. El tamaño es un indicador, no una licencia para fragmentar arbitrariamente. La extracción es válida cuando crea una frontera con nombre de negocio y pruebas; no cuando solo mueve líneas a una clase utilitaria genérica.</w:t>
      </w:r>
    </w:p>
    <w:p>
      <w:r>
        <w:t>Los métodos largos se reducen mediante pasos observables con precondiciones y resultados. Un método de evento debe recoger datos, invocar una operación y presentar el resultado. No debe construir SQL, decidir el modo fiscal, mutar stock y además gestionar la impresión.</w:t>
      </w:r>
    </w:p>
    <w:p>
      <w:bookmarkStart w:id="28" w:name="h_019"/>
      <w:pPr>
        <w:pStyle w:val="Heading3"/>
      </w:pPr>
      <w:r>
        <w:t>4.2 Inversión de dependencias</w:t>
      </w:r>
      <w:bookmarkEnd w:id="28"/>
    </w:p>
    <w:p>
      <w:r>
        <w:t xml:space="preserve">Los casos de uso dependen de interfaces pequeñas. Los adaptadores implementan esas interfaces y poseen la tecnología concreta. Una interfaz no es una forma de esconder un módulo de datos completo: expone una capacidad coherente. Los </w:t>
      </w:r>
      <w:r>
        <w:rPr>
          <w:rFonts w:ascii="Consolas" w:hAnsi="Consolas" w:eastAsia="Consolas"/>
          <w:color w:val="1F4D78"/>
          <w:sz w:val="18"/>
          <w:shd w:fill="F2F5F8"/>
        </w:rPr>
        <w:t>TDataSet</w:t>
      </w:r>
      <w:r>
        <w:t xml:space="preserve"> solo aparecen en puertos de lectura legacy expresamente documentados; quien los recibe es responsable de liberarlos cuando el contrato así lo indica.</w:t>
      </w:r>
    </w:p>
    <w:p>
      <w:bookmarkStart w:id="29" w:name="h_020"/>
      <w:pPr>
        <w:pStyle w:val="Heading3"/>
      </w:pPr>
      <w:r>
        <w:t>4.3 ISP y contratos por capacidad</w:t>
      </w:r>
      <w:bookmarkEnd w:id="29"/>
    </w:p>
    <w:p>
      <w:r>
        <w:t>La refactorización creó interfaces por operación para evitar que una pantalla dependa de todo el módulo. La revisión actual todavía contiene interfaces de 11 y 16 miembros señaladas por el comprobador ISP. No se amplían. Si un consumidor necesita una capacidad nueva, se comprueba primero si merece un puerto independiente y si puede componerse en un record de servicios.</w:t>
      </w:r>
    </w:p>
    <w:p>
      <w:bookmarkStart w:id="30" w:name="h_021"/>
      <w:pPr>
        <w:pStyle w:val="Heading3"/>
      </w:pPr>
      <w:r>
        <w:t>4.4 Compatibilidad Delphi</w:t>
      </w:r>
      <w:bookmarkEnd w:id="30"/>
    </w:p>
    <w:p>
      <w:pPr>
        <w:pStyle w:val="ListBullet"/>
        <w:numPr>
          <w:ilvl w:val="0"/>
          <w:numId w:val="14"/>
        </w:numPr>
      </w:pPr>
      <w:r>
        <w:t>declarar campos antes de métodos para evitar el error E2169;</w:t>
      </w:r>
    </w:p>
    <w:p>
      <w:pPr>
        <w:pStyle w:val="ListBullet"/>
        <w:numPr>
          <w:ilvl w:val="0"/>
          <w:numId w:val="14"/>
        </w:numPr>
      </w:pPr>
      <w:r>
        <w:t xml:space="preserve">evitar </w:t>
      </w:r>
      <w:r>
        <w:rPr>
          <w:rFonts w:ascii="Consolas" w:hAnsi="Consolas" w:eastAsia="Consolas"/>
          <w:color w:val="1F4D78"/>
          <w:sz w:val="18"/>
          <w:shd w:fill="F2F5F8"/>
        </w:rPr>
        <w:t>Exit</w:t>
      </w:r>
      <w:r>
        <w:t xml:space="preserve"> y </w:t>
      </w:r>
      <w:r>
        <w:rPr>
          <w:rFonts w:ascii="Consolas" w:hAnsi="Consolas" w:eastAsia="Consolas"/>
          <w:color w:val="1F4D78"/>
          <w:sz w:val="18"/>
          <w:shd w:fill="F2F5F8"/>
        </w:rPr>
        <w:t>Continue</w:t>
      </w:r>
      <w:r>
        <w:t xml:space="preserve"> en código nuevo cuando la guía local lo prohíbe;</w:t>
      </w:r>
    </w:p>
    <w:p>
      <w:pPr>
        <w:pStyle w:val="ListBullet"/>
        <w:numPr>
          <w:ilvl w:val="0"/>
          <w:numId w:val="14"/>
        </w:numPr>
      </w:pPr>
      <w:r>
        <w:t>usar nombres y comentarios en español, salvo vocabulario técnico estable;</w:t>
      </w:r>
    </w:p>
    <w:p>
      <w:pPr>
        <w:pStyle w:val="ListBullet"/>
        <w:numPr>
          <w:ilvl w:val="0"/>
          <w:numId w:val="14"/>
        </w:numPr>
      </w:pPr>
      <w:r>
        <w:t>mantener líneas legibles, terminaciones y codificación compatibles con el proyecto;</w:t>
      </w:r>
    </w:p>
    <w:p>
      <w:pPr>
        <w:pStyle w:val="ListBullet"/>
        <w:numPr>
          <w:ilvl w:val="0"/>
          <w:numId w:val="14"/>
        </w:numPr>
      </w:pPr>
      <w:r>
        <w:t>no introducir variables globales como sustituto de una dependencia;</w:t>
      </w:r>
    </w:p>
    <w:p>
      <w:pPr>
        <w:pStyle w:val="ListBullet"/>
        <w:numPr>
          <w:ilvl w:val="0"/>
          <w:numId w:val="14"/>
        </w:numPr>
      </w:pPr>
      <w:r>
        <w:t>gestionar explícitamente el ciclo de vida de objetos, datasets, hilos y conexiones.</w:t>
      </w:r>
    </w:p>
    <w:p>
      <w:bookmarkStart w:id="31" w:name="h_022"/>
      <w:pPr>
        <w:pStyle w:val="Heading2"/>
      </w:pPr>
      <w:r>
        <w:t>5. Interfaces nuevas que afectan a los documentos</w:t>
      </w:r>
      <w:bookmarkEnd w:id="31"/>
    </w:p>
    <w:p>
      <w:bookmarkStart w:id="32" w:name="h_023"/>
      <w:pPr>
        <w:pStyle w:val="Heading3"/>
      </w:pPr>
      <w:r>
        <w:t>5.1 Por qué existen</w:t>
      </w:r>
      <w:bookmarkEnd w:id="32"/>
    </w:p>
    <w:p>
      <w:r>
        <w:t>Los documentos comerciales comparten problemas, pero no un único formulario: numeración, líneas, impuestos, stock, efectos, impresión, estado fiscal y auditoría. Antes, estas decisiones se mezclaban en formularios y módulos de datos. Los contratos nuevos separan capacidades para que una operación pueda probarse sin VCL y para que UniDAC sea un adaptador, no el centro del dominio.</w:t>
      </w:r>
    </w:p>
    <w:p>
      <w:r>
        <w:t xml:space="preserve">Solo </w:t>
      </w:r>
      <w:r>
        <w:rPr>
          <w:rFonts w:ascii="Consolas" w:hAnsi="Consolas" w:eastAsia="Consolas"/>
          <w:color w:val="1F4D78"/>
          <w:sz w:val="18"/>
          <w:shd w:fill="F2F5F8"/>
        </w:rPr>
        <w:t>IEstrategiaDocumento</w:t>
      </w:r>
      <w:r>
        <w:t xml:space="preserve"> es el contrato polimórfico común a los siete descendientes actuales de </w:t>
      </w:r>
      <w:r>
        <w:rPr>
          <w:rFonts w:ascii="Consolas" w:hAnsi="Consolas" w:eastAsia="Consolas"/>
          <w:color w:val="1F4D78"/>
          <w:sz w:val="18"/>
          <w:shd w:fill="F2F5F8"/>
        </w:rPr>
        <w:t>TfrmMtoDocumento</w:t>
      </w:r>
      <w:r>
        <w:t xml:space="preserve">: albarán, pedido y factura de venta; albarán, pedido y factura de compra; y devolución de compra. Los demás son puertos de capacidades concretas. </w:t>
      </w:r>
      <w:r>
        <w:rPr>
          <w:rFonts w:ascii="Consolas" w:hAnsi="Consolas" w:eastAsia="Consolas"/>
          <w:color w:val="1F4D78"/>
          <w:sz w:val="18"/>
          <w:shd w:fill="F2F5F8"/>
        </w:rPr>
        <w:t>TConfiguracionDocumento</w:t>
      </w:r>
      <w:r>
        <w:t xml:space="preserve"> es un record y </w:t>
      </w:r>
      <w:r>
        <w:rPr>
          <w:rFonts w:ascii="Consolas" w:hAnsi="Consolas" w:eastAsia="Consolas"/>
          <w:color w:val="1F4D78"/>
          <w:sz w:val="18"/>
          <w:shd w:fill="F2F5F8"/>
        </w:rPr>
        <w:t>TfrmMtoDocumento</w:t>
      </w:r>
      <w:r>
        <w:t xml:space="preserve"> una clase base; ninguno debe describirse como interfaz.</w:t>
      </w:r>
    </w:p>
    <w:p>
      <w:r>
        <w:t xml:space="preserve">La palabra </w:t>
      </w:r>
      <w:r>
        <w:rPr>
          <w:b/>
        </w:rPr>
        <w:t>documento</w:t>
      </w:r>
      <w:r>
        <w:t xml:space="preserve"> incluye aquí pedidos, albaranes, facturas, devoluciones, facturas simplificadas/tickets y sus representaciones fiscales o impresas. No todos usan todas las capacidades. </w:t>
      </w:r>
      <w:r>
        <w:rPr>
          <w:rFonts w:ascii="Consolas" w:hAnsi="Consolas" w:eastAsia="Consolas"/>
          <w:color w:val="1F4D78"/>
          <w:sz w:val="18"/>
          <w:shd w:fill="F2F5F8"/>
        </w:rPr>
        <w:t>TConfiguracionDocumento</w:t>
      </w:r>
      <w:r>
        <w:t xml:space="preserve"> declara qué tabla y campos utiliza una familia, si mueve stock, usa serie, genera asiento o emite VeriFactu. Esta configuración no debe convertirse en un saco de reglas condicionales: la conducta variable vive en una estrategia.</w:t>
      </w:r>
    </w:p>
    <w:p>
      <w:bookmarkStart w:id="33" w:name="h_024"/>
      <w:pPr>
        <w:pStyle w:val="Heading3"/>
      </w:pPr>
      <w:r>
        <w:t>5.2 Núcleo común</w:t>
      </w:r>
      <w:bookmarkEnd w:id="33"/>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1700"/>
        <w:gridCol w:w="2600"/>
        <w:gridCol w:w="2400"/>
        <w:gridCol w:w="2660"/>
      </w:tblGrid>
      <w:tr>
        <w:trPr>
          <w:tblHeader w:val="true"/>
        </w:trPr>
        <w:tc>
          <w:tcPr>
            <w:tcW w:type="dxa" w:w="1700"/>
            <w:vAlign w:val="top"/>
            <w:shd w:fill="E8EEF5"/>
            <w:tcMar>
              <w:top w:w="80" w:type="dxa"/>
              <w:start w:w="120" w:type="dxa"/>
              <w:bottom w:w="80" w:type="dxa"/>
              <w:end w:w="120" w:type="dxa"/>
            </w:tcMar>
          </w:tcPr>
          <w:p>
            <w:pPr>
              <w:spacing w:after="40" w:line="252" w:lineRule="auto"/>
            </w:pPr>
            <w:r>
              <w:rPr>
                <w:b/>
                <w:color w:val="1F4D78"/>
                <w:sz w:val="18"/>
              </w:rPr>
              <w:t>Contrato</w:t>
            </w:r>
          </w:p>
        </w:tc>
        <w:tc>
          <w:tcPr>
            <w:tcW w:type="dxa" w:w="2600"/>
            <w:vAlign w:val="top"/>
            <w:shd w:fill="E8EEF5"/>
            <w:tcMar>
              <w:top w:w="80" w:type="dxa"/>
              <w:start w:w="120" w:type="dxa"/>
              <w:bottom w:w="80" w:type="dxa"/>
              <w:end w:w="120" w:type="dxa"/>
            </w:tcMar>
          </w:tcPr>
          <w:p>
            <w:pPr>
              <w:spacing w:after="40" w:line="252" w:lineRule="auto"/>
            </w:pPr>
            <w:r>
              <w:rPr>
                <w:b/>
                <w:color w:val="1F4D78"/>
                <w:sz w:val="18"/>
              </w:rPr>
              <w:t>Responsabilidad</w:t>
            </w:r>
          </w:p>
        </w:tc>
        <w:tc>
          <w:tcPr>
            <w:tcW w:type="dxa" w:w="2400"/>
            <w:vAlign w:val="top"/>
            <w:shd w:fill="E8EEF5"/>
            <w:tcMar>
              <w:top w:w="80" w:type="dxa"/>
              <w:start w:w="120" w:type="dxa"/>
              <w:bottom w:w="80" w:type="dxa"/>
              <w:end w:w="120" w:type="dxa"/>
            </w:tcMar>
          </w:tcPr>
          <w:p>
            <w:pPr>
              <w:spacing w:after="40" w:line="252" w:lineRule="auto"/>
            </w:pPr>
            <w:r>
              <w:rPr>
                <w:b/>
                <w:color w:val="1F4D78"/>
                <w:sz w:val="18"/>
              </w:rPr>
              <w:t>Afecta a</w:t>
            </w:r>
          </w:p>
        </w:tc>
        <w:tc>
          <w:tcPr>
            <w:tcW w:type="dxa" w:w="2660"/>
            <w:vAlign w:val="top"/>
            <w:shd w:fill="E8EEF5"/>
            <w:tcMar>
              <w:top w:w="80" w:type="dxa"/>
              <w:start w:w="120" w:type="dxa"/>
              <w:bottom w:w="80" w:type="dxa"/>
              <w:end w:w="120" w:type="dxa"/>
            </w:tcMar>
          </w:tcPr>
          <w:p>
            <w:pPr>
              <w:spacing w:after="40" w:line="252" w:lineRule="auto"/>
            </w:pPr>
            <w:r>
              <w:rPr>
                <w:b/>
                <w:color w:val="1F4D78"/>
                <w:sz w:val="18"/>
              </w:rPr>
              <w:t>Estado y regla</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IEstrategiaDocumento</w:t>
            </w:r>
          </w:p>
        </w:tc>
        <w:tc>
          <w:tcPr>
            <w:tcW w:type="dxa" w:w="2600"/>
            <w:vAlign w:val="top"/>
            <w:tcMar>
              <w:top w:w="80" w:type="dxa"/>
              <w:start w:w="120" w:type="dxa"/>
              <w:bottom w:w="80" w:type="dxa"/>
              <w:end w:w="120" w:type="dxa"/>
            </w:tcMar>
          </w:tcPr>
          <w:p>
            <w:pPr>
              <w:spacing w:after="40" w:line="252" w:lineRule="auto"/>
            </w:pPr>
            <w:r>
              <w:rPr>
                <w:sz w:val="18"/>
              </w:rPr>
              <w:t>Calcula línea, signo/tipo de movimiento, formato de número y decisiones de asiento/VeriFactu</w:t>
            </w:r>
          </w:p>
        </w:tc>
        <w:tc>
          <w:tcPr>
            <w:tcW w:type="dxa" w:w="2400"/>
            <w:vAlign w:val="top"/>
            <w:tcMar>
              <w:top w:w="80" w:type="dxa"/>
              <w:start w:w="120" w:type="dxa"/>
              <w:bottom w:w="80" w:type="dxa"/>
              <w:end w:w="120" w:type="dxa"/>
            </w:tcMar>
          </w:tcPr>
          <w:p>
            <w:pPr>
              <w:spacing w:after="40" w:line="252" w:lineRule="auto"/>
            </w:pPr>
            <w:r>
              <w:rPr>
                <w:sz w:val="18"/>
              </w:rPr>
              <w:t>Pedido, albarán, factura y devolución, compra/venta</w:t>
            </w:r>
          </w:p>
        </w:tc>
        <w:tc>
          <w:tcPr>
            <w:tcW w:type="dxa" w:w="2660"/>
            <w:vAlign w:val="top"/>
            <w:tcMar>
              <w:top w:w="80" w:type="dxa"/>
              <w:start w:w="120" w:type="dxa"/>
              <w:bottom w:w="80" w:type="dxa"/>
              <w:end w:w="120" w:type="dxa"/>
            </w:tcMar>
          </w:tcPr>
          <w:p>
            <w:pPr>
              <w:spacing w:after="40" w:line="252" w:lineRule="auto"/>
            </w:pPr>
            <w:r>
              <w:rPr>
                <w:sz w:val="18"/>
              </w:rPr>
              <w:t>VIGENTE. No debe acceder a VCL ni BBDD</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TConfiguracionDocumento</w:t>
            </w:r>
          </w:p>
        </w:tc>
        <w:tc>
          <w:tcPr>
            <w:tcW w:type="dxa" w:w="2600"/>
            <w:vAlign w:val="top"/>
            <w:tcMar>
              <w:top w:w="80" w:type="dxa"/>
              <w:start w:w="120" w:type="dxa"/>
              <w:bottom w:w="80" w:type="dxa"/>
              <w:end w:w="120" w:type="dxa"/>
            </w:tcMar>
          </w:tcPr>
          <w:p>
            <w:pPr>
              <w:spacing w:after="40" w:line="252" w:lineRule="auto"/>
            </w:pPr>
            <w:r>
              <w:rPr>
                <w:sz w:val="18"/>
              </w:rPr>
              <w:t>Describe tablas, prefijos, campos y capacidades de una familia</w:t>
            </w:r>
          </w:p>
        </w:tc>
        <w:tc>
          <w:tcPr>
            <w:tcW w:type="dxa" w:w="2400"/>
            <w:vAlign w:val="top"/>
            <w:tcMar>
              <w:top w:w="80" w:type="dxa"/>
              <w:start w:w="120" w:type="dxa"/>
              <w:bottom w:w="80" w:type="dxa"/>
              <w:end w:w="120" w:type="dxa"/>
            </w:tcMar>
          </w:tcPr>
          <w:p>
            <w:pPr>
              <w:spacing w:after="40" w:line="252" w:lineRule="auto"/>
            </w:pPr>
            <w:r>
              <w:rPr>
                <w:sz w:val="18"/>
              </w:rPr>
              <w:t>Presentación y persistencia documental genérica</w:t>
            </w:r>
          </w:p>
        </w:tc>
        <w:tc>
          <w:tcPr>
            <w:tcW w:type="dxa" w:w="2660"/>
            <w:vAlign w:val="top"/>
            <w:tcMar>
              <w:top w:w="80" w:type="dxa"/>
              <w:start w:w="120" w:type="dxa"/>
              <w:bottom w:w="80" w:type="dxa"/>
              <w:end w:w="120" w:type="dxa"/>
            </w:tcMar>
          </w:tcPr>
          <w:p>
            <w:pPr>
              <w:spacing w:after="40" w:line="252" w:lineRule="auto"/>
            </w:pPr>
            <w:r>
              <w:rPr>
                <w:sz w:val="18"/>
              </w:rPr>
              <w:t>VIGENTE. Es dato de configuración, no servicio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IAnfitrionDatosDocumento</w:t>
            </w:r>
          </w:p>
        </w:tc>
        <w:tc>
          <w:tcPr>
            <w:tcW w:type="dxa" w:w="2600"/>
            <w:vAlign w:val="top"/>
            <w:tcMar>
              <w:top w:w="80" w:type="dxa"/>
              <w:start w:w="120" w:type="dxa"/>
              <w:bottom w:w="80" w:type="dxa"/>
              <w:end w:w="120" w:type="dxa"/>
            </w:tcMar>
          </w:tcPr>
          <w:p>
            <w:pPr>
              <w:spacing w:after="40" w:line="252" w:lineRule="auto"/>
            </w:pPr>
            <w:r>
              <w:rPr>
                <w:sz w:val="18"/>
              </w:rPr>
              <w:t xml:space="preserve">Expone la tabla principal y permite asignar el maestro de cabecera sin conocer </w:t>
            </w:r>
            <w:r>
              <w:rPr>
                <w:rFonts w:ascii="Consolas" w:hAnsi="Consolas" w:eastAsia="Consolas"/>
                <w:color w:val="1F4D78"/>
                <w:sz w:val="18"/>
                <w:shd w:fill="F2F5F8"/>
              </w:rPr>
              <w:t>TdmBase</w:t>
            </w:r>
          </w:p>
        </w:tc>
        <w:tc>
          <w:tcPr>
            <w:tcW w:type="dxa" w:w="2400"/>
            <w:vAlign w:val="top"/>
            <w:tcMar>
              <w:top w:w="80" w:type="dxa"/>
              <w:start w:w="120" w:type="dxa"/>
              <w:bottom w:w="80" w:type="dxa"/>
              <w:end w:w="120" w:type="dxa"/>
            </w:tcMar>
          </w:tcPr>
          <w:p>
            <w:pPr>
              <w:spacing w:after="40" w:line="252" w:lineRule="auto"/>
            </w:pPr>
            <w:r>
              <w:rPr>
                <w:sz w:val="18"/>
              </w:rPr>
              <w:t>Siete documentos e inventarios</w:t>
            </w:r>
          </w:p>
        </w:tc>
        <w:tc>
          <w:tcPr>
            <w:tcW w:type="dxa" w:w="2660"/>
            <w:vAlign w:val="top"/>
            <w:tcMar>
              <w:top w:w="80" w:type="dxa"/>
              <w:start w:w="120" w:type="dxa"/>
              <w:bottom w:w="80" w:type="dxa"/>
              <w:end w:w="120" w:type="dxa"/>
            </w:tcMar>
          </w:tcPr>
          <w:p>
            <w:pPr>
              <w:spacing w:after="40" w:line="252" w:lineRule="auto"/>
            </w:pPr>
            <w:r>
              <w:rPr>
                <w:sz w:val="18"/>
              </w:rPr>
              <w:t xml:space="preserve">VIGENTE. Sustituyó a </w:t>
            </w:r>
            <w:r>
              <w:rPr>
                <w:rFonts w:ascii="Consolas" w:hAnsi="Consolas" w:eastAsia="Consolas"/>
                <w:color w:val="1F4D78"/>
                <w:sz w:val="18"/>
                <w:shd w:fill="F2F5F8"/>
              </w:rPr>
              <w:t>IDataModuleDocumento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IFormatoDocumentoLecturas</w:t>
            </w:r>
          </w:p>
        </w:tc>
        <w:tc>
          <w:tcPr>
            <w:tcW w:type="dxa" w:w="2600"/>
            <w:vAlign w:val="top"/>
            <w:tcMar>
              <w:top w:w="80" w:type="dxa"/>
              <w:start w:w="120" w:type="dxa"/>
              <w:bottom w:w="80" w:type="dxa"/>
              <w:end w:w="120" w:type="dxa"/>
            </w:tcMar>
          </w:tcPr>
          <w:p>
            <w:pPr>
              <w:spacing w:after="40" w:line="252" w:lineRule="auto"/>
            </w:pPr>
            <w:r>
              <w:rPr>
                <w:sz w:val="18"/>
              </w:rPr>
              <w:t>Lee el formato documental configurado por empresa</w:t>
            </w:r>
          </w:p>
        </w:tc>
        <w:tc>
          <w:tcPr>
            <w:tcW w:type="dxa" w:w="2400"/>
            <w:vAlign w:val="top"/>
            <w:tcMar>
              <w:top w:w="80" w:type="dxa"/>
              <w:start w:w="120" w:type="dxa"/>
              <w:bottom w:w="80" w:type="dxa"/>
              <w:end w:w="120" w:type="dxa"/>
            </w:tcMar>
          </w:tcPr>
          <w:p>
            <w:pPr>
              <w:spacing w:after="40" w:line="252" w:lineRule="auto"/>
            </w:pPr>
            <w:r>
              <w:rPr>
                <w:sz w:val="18"/>
              </w:rPr>
              <w:t>Impresión y presentación de documentos</w:t>
            </w:r>
          </w:p>
        </w:tc>
        <w:tc>
          <w:tcPr>
            <w:tcW w:type="dxa" w:w="2660"/>
            <w:vAlign w:val="top"/>
            <w:tcMar>
              <w:top w:w="80" w:type="dxa"/>
              <w:start w:w="120" w:type="dxa"/>
              <w:bottom w:w="80" w:type="dxa"/>
              <w:end w:w="120" w:type="dxa"/>
            </w:tcMar>
          </w:tcPr>
          <w:p>
            <w:pPr>
              <w:spacing w:after="40" w:line="252" w:lineRule="auto"/>
            </w:pPr>
            <w:r>
              <w:rPr>
                <w:sz w:val="18"/>
              </w:rPr>
              <w:t>VIGENTE. Solo lectura</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IColumnasDocumentoLecturas</w:t>
            </w:r>
          </w:p>
        </w:tc>
        <w:tc>
          <w:tcPr>
            <w:tcW w:type="dxa" w:w="2600"/>
            <w:vAlign w:val="top"/>
            <w:tcMar>
              <w:top w:w="80" w:type="dxa"/>
              <w:start w:w="120" w:type="dxa"/>
              <w:bottom w:w="80" w:type="dxa"/>
              <w:end w:w="120" w:type="dxa"/>
            </w:tcMar>
          </w:tcPr>
          <w:p>
            <w:pPr>
              <w:spacing w:after="40" w:line="252" w:lineRule="auto"/>
            </w:pPr>
            <w:r>
              <w:rPr>
                <w:sz w:val="18"/>
              </w:rPr>
              <w:t>Obtiene nombres globales de atributos documentales</w:t>
            </w:r>
          </w:p>
        </w:tc>
        <w:tc>
          <w:tcPr>
            <w:tcW w:type="dxa" w:w="2400"/>
            <w:vAlign w:val="top"/>
            <w:tcMar>
              <w:top w:w="80" w:type="dxa"/>
              <w:start w:w="120" w:type="dxa"/>
              <w:bottom w:w="80" w:type="dxa"/>
              <w:end w:w="120" w:type="dxa"/>
            </w:tcMar>
          </w:tcPr>
          <w:p>
            <w:pPr>
              <w:spacing w:after="40" w:line="252" w:lineRule="auto"/>
            </w:pPr>
            <w:r>
              <w:rPr>
                <w:sz w:val="18"/>
              </w:rPr>
              <w:t>Columnas dinámicas y rejillas</w:t>
            </w:r>
          </w:p>
        </w:tc>
        <w:tc>
          <w:tcPr>
            <w:tcW w:type="dxa" w:w="2660"/>
            <w:vAlign w:val="top"/>
            <w:tcMar>
              <w:top w:w="80" w:type="dxa"/>
              <w:start w:w="120" w:type="dxa"/>
              <w:bottom w:w="80" w:type="dxa"/>
              <w:end w:w="120" w:type="dxa"/>
            </w:tcMar>
          </w:tcPr>
          <w:p>
            <w:pPr>
              <w:spacing w:after="40" w:line="252" w:lineRule="auto"/>
            </w:pPr>
            <w:r>
              <w:rPr>
                <w:sz w:val="18"/>
              </w:rPr>
              <w:t>VIGENTE. No decide visibilidad por UI</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IValidacionDocumentoLecturas</w:t>
            </w:r>
          </w:p>
        </w:tc>
        <w:tc>
          <w:tcPr>
            <w:tcW w:type="dxa" w:w="2600"/>
            <w:vAlign w:val="top"/>
            <w:tcMar>
              <w:top w:w="80" w:type="dxa"/>
              <w:start w:w="120" w:type="dxa"/>
              <w:bottom w:w="80" w:type="dxa"/>
              <w:end w:w="120" w:type="dxa"/>
            </w:tcMar>
          </w:tcPr>
          <w:p>
            <w:pPr>
              <w:spacing w:after="40" w:line="252" w:lineRule="auto"/>
            </w:pPr>
            <w:r>
              <w:rPr>
                <w:sz w:val="18"/>
              </w:rPr>
              <w:t>Lista artículos sin sistema de tallas en un documento de compra</w:t>
            </w:r>
          </w:p>
        </w:tc>
        <w:tc>
          <w:tcPr>
            <w:tcW w:type="dxa" w:w="2400"/>
            <w:vAlign w:val="top"/>
            <w:tcMar>
              <w:top w:w="80" w:type="dxa"/>
              <w:start w:w="120" w:type="dxa"/>
              <w:bottom w:w="80" w:type="dxa"/>
              <w:end w:w="120" w:type="dxa"/>
            </w:tcMar>
          </w:tcPr>
          <w:p>
            <w:pPr>
              <w:spacing w:after="40" w:line="252" w:lineRule="auto"/>
            </w:pPr>
            <w:r>
              <w:rPr>
                <w:sz w:val="18"/>
              </w:rPr>
              <w:t>Validación previa a materialización/recepción</w:t>
            </w:r>
          </w:p>
        </w:tc>
        <w:tc>
          <w:tcPr>
            <w:tcW w:type="dxa" w:w="2660"/>
            <w:vAlign w:val="top"/>
            <w:tcMar>
              <w:top w:w="80" w:type="dxa"/>
              <w:start w:w="120" w:type="dxa"/>
              <w:bottom w:w="80" w:type="dxa"/>
              <w:end w:w="120" w:type="dxa"/>
            </w:tcMar>
          </w:tcPr>
          <w:p>
            <w:pPr>
              <w:spacing w:after="40" w:line="252" w:lineRule="auto"/>
            </w:pPr>
            <w:r>
              <w:rPr>
                <w:sz w:val="18"/>
              </w:rPr>
              <w:t>VIGENTE. Devuelve datos; la aplicación decide el mensaje</w:t>
            </w:r>
          </w:p>
        </w:tc>
      </w:tr>
    </w:tbl>
    <w:p>
      <w:pPr>
        <w:spacing w:after="0"/>
      </w:pPr>
    </w:p>
    <w:p>
      <w:r>
        <w:rPr>
          <w:rFonts w:ascii="Consolas" w:hAnsi="Consolas" w:eastAsia="Consolas"/>
          <w:color w:val="1F4D78"/>
          <w:sz w:val="18"/>
          <w:shd w:fill="F2F5F8"/>
        </w:rPr>
        <w:t>IEstrategiaDocumento.CalcularLinea</w:t>
      </w:r>
      <w:r>
        <w:t xml:space="preserve"> recibe cantidad, precio, descuento, impuesto, recargo y la marca de precio con impuestos; devuelve precio neto, base, cuotas y total. La misma estrategia expone </w:t>
      </w:r>
      <w:r>
        <w:rPr>
          <w:rFonts w:ascii="Consolas" w:hAnsi="Consolas" w:eastAsia="Consolas"/>
          <w:color w:val="1F4D78"/>
          <w:sz w:val="18"/>
          <w:shd w:fill="F2F5F8"/>
        </w:rPr>
        <w:t>CantidadMovimientoStock</w:t>
      </w:r>
      <w:r>
        <w:t xml:space="preserve">, </w:t>
      </w:r>
      <w:r>
        <w:rPr>
          <w:rFonts w:ascii="Consolas" w:hAnsi="Consolas" w:eastAsia="Consolas"/>
          <w:color w:val="1F4D78"/>
          <w:sz w:val="18"/>
          <w:shd w:fill="F2F5F8"/>
        </w:rPr>
        <w:t>TipoDocumentoMovimientoStock</w:t>
      </w:r>
      <w:r>
        <w:t xml:space="preserve">, </w:t>
      </w:r>
      <w:r>
        <w:rPr>
          <w:rFonts w:ascii="Consolas" w:hAnsi="Consolas" w:eastAsia="Consolas"/>
          <w:color w:val="1F4D78"/>
          <w:sz w:val="18"/>
          <w:shd w:fill="F2F5F8"/>
        </w:rPr>
        <w:t>TipoMovimientoStock</w:t>
      </w:r>
      <w:r>
        <w:t xml:space="preserve">, </w:t>
      </w:r>
      <w:r>
        <w:rPr>
          <w:rFonts w:ascii="Consolas" w:hAnsi="Consolas" w:eastAsia="Consolas"/>
          <w:color w:val="1F4D78"/>
          <w:sz w:val="18"/>
          <w:shd w:fill="F2F5F8"/>
        </w:rPr>
        <w:t>FormatearNumero</w:t>
      </w:r>
      <w:r>
        <w:t xml:space="preserve">, </w:t>
      </w:r>
      <w:r>
        <w:rPr>
          <w:rFonts w:ascii="Consolas" w:hAnsi="Consolas" w:eastAsia="Consolas"/>
          <w:color w:val="1F4D78"/>
          <w:sz w:val="18"/>
          <w:shd w:fill="F2F5F8"/>
        </w:rPr>
        <w:t>DebeGenerarAsiento</w:t>
      </w:r>
      <w:r>
        <w:t xml:space="preserve"> y </w:t>
      </w:r>
      <w:r>
        <w:rPr>
          <w:rFonts w:ascii="Consolas" w:hAnsi="Consolas" w:eastAsia="Consolas"/>
          <w:color w:val="1F4D78"/>
          <w:sz w:val="18"/>
          <w:shd w:fill="F2F5F8"/>
        </w:rPr>
        <w:t>DebeEmitirVerifactu</w:t>
      </w:r>
      <w:r>
        <w:t xml:space="preserve">. </w:t>
      </w:r>
      <w:r>
        <w:rPr>
          <w:rFonts w:ascii="Consolas" w:hAnsi="Consolas" w:eastAsia="Consolas"/>
          <w:color w:val="1F4D78"/>
          <w:sz w:val="18"/>
          <w:shd w:fill="F2F5F8"/>
        </w:rPr>
        <w:t>TEstrategiaDocumento</w:t>
      </w:r>
      <w:r>
        <w:t xml:space="preserve"> es hoy la implementación configurable; las factorías crean configuraciones para cada familia. Añadir un tipo aún obliga a ampliar </w:t>
      </w:r>
      <w:r>
        <w:rPr>
          <w:rFonts w:ascii="Consolas" w:hAnsi="Consolas" w:eastAsia="Consolas"/>
          <w:color w:val="1F4D78"/>
          <w:sz w:val="18"/>
          <w:shd w:fill="F2F5F8"/>
        </w:rPr>
        <w:t>TTipoDocumento</w:t>
      </w:r>
      <w:r>
        <w:t xml:space="preserve"> y el </w:t>
      </w:r>
      <w:r>
        <w:rPr>
          <w:rFonts w:ascii="Consolas" w:hAnsi="Consolas" w:eastAsia="Consolas"/>
          <w:color w:val="1F4D78"/>
          <w:sz w:val="18"/>
          <w:shd w:fill="F2F5F8"/>
        </w:rPr>
        <w:t>case</w:t>
      </w:r>
      <w:r>
        <w:t xml:space="preserve"> de configuración: es una extensión controlada, no un sistema de plugins.</w:t>
      </w:r>
    </w:p>
    <w:p>
      <w:r>
        <w:t xml:space="preserve">El contrato tiene siete miembros y mezcla cálculo, movimiento, numeración, contabilidad y señal fiscal. Se mantiene por compatibilidad, pero no se amplía sin revisar ISP; </w:t>
      </w:r>
      <w:r>
        <w:rPr>
          <w:rFonts w:ascii="Consolas" w:hAnsi="Consolas" w:eastAsia="Consolas"/>
          <w:color w:val="1F4D78"/>
          <w:sz w:val="18"/>
          <w:shd w:fill="F2F5F8"/>
        </w:rPr>
        <w:t>DebeEmitirVerifactu</w:t>
      </w:r>
      <w:r>
        <w:t xml:space="preserve"> no sustituye a </w:t>
      </w:r>
      <w:r>
        <w:rPr>
          <w:rFonts w:ascii="Consolas" w:hAnsi="Consolas" w:eastAsia="Consolas"/>
          <w:color w:val="1F4D78"/>
          <w:sz w:val="18"/>
          <w:shd w:fill="F2F5F8"/>
        </w:rPr>
        <w:t>IServicioEmisionFiscal</w:t>
      </w:r>
      <w:r>
        <w:t xml:space="preserve"> como política central. Las pruebas de una extensión cubren signo, redondeo y efectos colaterales; copiar un formulario no es una implementación válida.</w:t>
      </w:r>
    </w:p>
    <w:p>
      <w:bookmarkStart w:id="34" w:name="h_025"/>
      <w:pPr>
        <w:pStyle w:val="Heading3"/>
      </w:pPr>
      <w:r>
        <w:t>5.3 Aplicación y presentación de facturas</w:t>
      </w:r>
      <w:bookmarkEnd w:id="34"/>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1700"/>
        <w:gridCol w:w="2600"/>
        <w:gridCol w:w="2400"/>
        <w:gridCol w:w="2660"/>
      </w:tblGrid>
      <w:tr>
        <w:trPr>
          <w:tblHeader w:val="true"/>
        </w:trPr>
        <w:tc>
          <w:tcPr>
            <w:tcW w:type="dxa" w:w="1700"/>
            <w:vAlign w:val="top"/>
            <w:shd w:fill="E8EEF5"/>
            <w:tcMar>
              <w:top w:w="80" w:type="dxa"/>
              <w:start w:w="120" w:type="dxa"/>
              <w:bottom w:w="80" w:type="dxa"/>
              <w:end w:w="120" w:type="dxa"/>
            </w:tcMar>
          </w:tcPr>
          <w:p>
            <w:pPr>
              <w:spacing w:after="40" w:line="252" w:lineRule="auto"/>
            </w:pPr>
            <w:r>
              <w:rPr>
                <w:b/>
                <w:color w:val="1F4D78"/>
                <w:sz w:val="18"/>
              </w:rPr>
              <w:t>Contrato</w:t>
            </w:r>
          </w:p>
        </w:tc>
        <w:tc>
          <w:tcPr>
            <w:tcW w:type="dxa" w:w="2600"/>
            <w:vAlign w:val="top"/>
            <w:shd w:fill="E8EEF5"/>
            <w:tcMar>
              <w:top w:w="80" w:type="dxa"/>
              <w:start w:w="120" w:type="dxa"/>
              <w:bottom w:w="80" w:type="dxa"/>
              <w:end w:w="120" w:type="dxa"/>
            </w:tcMar>
          </w:tcPr>
          <w:p>
            <w:pPr>
              <w:spacing w:after="40" w:line="252" w:lineRule="auto"/>
            </w:pPr>
            <w:r>
              <w:rPr>
                <w:b/>
                <w:color w:val="1F4D78"/>
                <w:sz w:val="18"/>
              </w:rPr>
              <w:t>Qué encapsula</w:t>
            </w:r>
          </w:p>
        </w:tc>
        <w:tc>
          <w:tcPr>
            <w:tcW w:type="dxa" w:w="2400"/>
            <w:vAlign w:val="top"/>
            <w:shd w:fill="E8EEF5"/>
            <w:tcMar>
              <w:top w:w="80" w:type="dxa"/>
              <w:start w:w="120" w:type="dxa"/>
              <w:bottom w:w="80" w:type="dxa"/>
              <w:end w:w="120" w:type="dxa"/>
            </w:tcMar>
          </w:tcPr>
          <w:p>
            <w:pPr>
              <w:spacing w:after="40" w:line="252" w:lineRule="auto"/>
            </w:pPr>
            <w:r>
              <w:rPr>
                <w:b/>
                <w:color w:val="1F4D78"/>
                <w:sz w:val="18"/>
              </w:rPr>
              <w:t>Consumidor típico</w:t>
            </w:r>
          </w:p>
        </w:tc>
        <w:tc>
          <w:tcPr>
            <w:tcW w:type="dxa" w:w="2660"/>
            <w:vAlign w:val="top"/>
            <w:shd w:fill="E8EEF5"/>
            <w:tcMar>
              <w:top w:w="80" w:type="dxa"/>
              <w:start w:w="120" w:type="dxa"/>
              <w:bottom w:w="80" w:type="dxa"/>
              <w:end w:w="120" w:type="dxa"/>
            </w:tcMar>
          </w:tcPr>
          <w:p>
            <w:pPr>
              <w:spacing w:after="40" w:line="252" w:lineRule="auto"/>
            </w:pPr>
            <w:r>
              <w:rPr>
                <w:b/>
                <w:color w:val="1F4D78"/>
                <w:sz w:val="18"/>
              </w:rPr>
              <w:t>Colaborador concreto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IVistaFactura</w:t>
            </w:r>
          </w:p>
        </w:tc>
        <w:tc>
          <w:tcPr>
            <w:tcW w:type="dxa" w:w="2600"/>
            <w:vAlign w:val="top"/>
            <w:tcMar>
              <w:top w:w="80" w:type="dxa"/>
              <w:start w:w="120" w:type="dxa"/>
              <w:bottom w:w="80" w:type="dxa"/>
              <w:end w:w="120" w:type="dxa"/>
            </w:tcMar>
          </w:tcPr>
          <w:p>
            <w:pPr>
              <w:spacing w:after="40" w:line="252" w:lineRule="auto"/>
            </w:pPr>
            <w:r>
              <w:rPr>
                <w:sz w:val="18"/>
              </w:rPr>
              <w:t>Confirmaciones, mensajes, refrescos, archivo, estado visual y modo de entrada</w:t>
            </w:r>
          </w:p>
        </w:tc>
        <w:tc>
          <w:tcPr>
            <w:tcW w:type="dxa" w:w="2400"/>
            <w:vAlign w:val="top"/>
            <w:tcMar>
              <w:top w:w="80" w:type="dxa"/>
              <w:start w:w="120" w:type="dxa"/>
              <w:bottom w:w="80" w:type="dxa"/>
              <w:end w:w="120" w:type="dxa"/>
            </w:tcMar>
          </w:tcPr>
          <w:p>
            <w:pPr>
              <w:spacing w:after="40" w:line="252" w:lineRule="auto"/>
            </w:pPr>
            <w:r>
              <w:rPr>
                <w:sz w:val="18"/>
              </w:rPr>
              <w:t>Presentadores/casos de uso</w:t>
            </w:r>
          </w:p>
        </w:tc>
        <w:tc>
          <w:tcPr>
            <w:tcW w:type="dxa" w:w="2660"/>
            <w:vAlign w:val="top"/>
            <w:tcMar>
              <w:top w:w="80" w:type="dxa"/>
              <w:start w:w="120" w:type="dxa"/>
              <w:bottom w:w="80" w:type="dxa"/>
              <w:end w:w="120" w:type="dxa"/>
            </w:tcMar>
          </w:tcPr>
          <w:p>
            <w:pPr>
              <w:spacing w:after="40" w:line="252" w:lineRule="auto"/>
            </w:pPr>
            <w:r>
              <w:rPr>
                <w:sz w:val="18"/>
              </w:rPr>
              <w:t>Formulario VCL de facturas</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IAplicacionConsolidacionFactura</w:t>
            </w:r>
          </w:p>
        </w:tc>
        <w:tc>
          <w:tcPr>
            <w:tcW w:type="dxa" w:w="2600"/>
            <w:vAlign w:val="top"/>
            <w:tcMar>
              <w:top w:w="80" w:type="dxa"/>
              <w:start w:w="120" w:type="dxa"/>
              <w:bottom w:w="80" w:type="dxa"/>
              <w:end w:w="120" w:type="dxa"/>
            </w:tcMar>
          </w:tcPr>
          <w:p>
            <w:pPr>
              <w:spacing w:after="40" w:line="252" w:lineRule="auto"/>
            </w:pPr>
            <w:r>
              <w:rPr>
                <w:sz w:val="18"/>
              </w:rPr>
              <w:t>Orquesta la consolidación manual</w:t>
            </w:r>
          </w:p>
        </w:tc>
        <w:tc>
          <w:tcPr>
            <w:tcW w:type="dxa" w:w="2400"/>
            <w:vAlign w:val="top"/>
            <w:tcMar>
              <w:top w:w="80" w:type="dxa"/>
              <w:start w:w="120" w:type="dxa"/>
              <w:bottom w:w="80" w:type="dxa"/>
              <w:end w:w="120" w:type="dxa"/>
            </w:tcMar>
          </w:tcPr>
          <w:p>
            <w:pPr>
              <w:spacing w:after="40" w:line="252" w:lineRule="auto"/>
            </w:pPr>
            <w:r>
              <w:rPr>
                <w:sz w:val="18"/>
              </w:rPr>
              <w:t>Acción Consolidar</w:t>
            </w:r>
          </w:p>
        </w:tc>
        <w:tc>
          <w:tcPr>
            <w:tcW w:type="dxa" w:w="2660"/>
            <w:vAlign w:val="top"/>
            <w:tcMar>
              <w:top w:w="80" w:type="dxa"/>
              <w:start w:w="120" w:type="dxa"/>
              <w:bottom w:w="80" w:type="dxa"/>
              <w:end w:w="120" w:type="dxa"/>
            </w:tcMar>
          </w:tcPr>
          <w:p>
            <w:pPr>
              <w:spacing w:after="40" w:line="252" w:lineRule="auto"/>
            </w:pPr>
            <w:r>
              <w:rPr>
                <w:sz w:val="18"/>
              </w:rPr>
              <w:t>Servicio de aplicación con repositorios y emisión fiscal</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IAplicacionOperacionFiscalFactura</w:t>
            </w:r>
          </w:p>
        </w:tc>
        <w:tc>
          <w:tcPr>
            <w:tcW w:type="dxa" w:w="2600"/>
            <w:vAlign w:val="top"/>
            <w:tcMar>
              <w:top w:w="80" w:type="dxa"/>
              <w:start w:w="120" w:type="dxa"/>
              <w:bottom w:w="80" w:type="dxa"/>
              <w:end w:w="120" w:type="dxa"/>
            </w:tcMar>
          </w:tcPr>
          <w:p>
            <w:pPr>
              <w:spacing w:after="40" w:line="252" w:lineRule="auto"/>
            </w:pPr>
            <w:r>
              <w:rPr>
                <w:sz w:val="18"/>
              </w:rPr>
              <w:t>Ejecuta una operación fiscal tipada</w:t>
            </w:r>
          </w:p>
        </w:tc>
        <w:tc>
          <w:tcPr>
            <w:tcW w:type="dxa" w:w="2400"/>
            <w:vAlign w:val="top"/>
            <w:tcMar>
              <w:top w:w="80" w:type="dxa"/>
              <w:start w:w="120" w:type="dxa"/>
              <w:bottom w:w="80" w:type="dxa"/>
              <w:end w:w="120" w:type="dxa"/>
            </w:tcMar>
          </w:tcPr>
          <w:p>
            <w:pPr>
              <w:spacing w:after="40" w:line="252" w:lineRule="auto"/>
            </w:pPr>
            <w:r>
              <w:rPr>
                <w:sz w:val="18"/>
              </w:rPr>
              <w:t>Acciones de alta/anulación/subsanación</w:t>
            </w:r>
          </w:p>
        </w:tc>
        <w:tc>
          <w:tcPr>
            <w:tcW w:type="dxa" w:w="2660"/>
            <w:vAlign w:val="top"/>
            <w:tcMar>
              <w:top w:w="80" w:type="dxa"/>
              <w:start w:w="120" w:type="dxa"/>
              <w:bottom w:w="80" w:type="dxa"/>
              <w:end w:w="120" w:type="dxa"/>
            </w:tcMar>
          </w:tcPr>
          <w:p>
            <w:pPr>
              <w:spacing w:after="40" w:line="252" w:lineRule="auto"/>
            </w:pPr>
            <w:r>
              <w:rPr>
                <w:sz w:val="18"/>
              </w:rPr>
              <w:t>Coordinador fiscal</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IAplicacionCobrosFactura</w:t>
            </w:r>
          </w:p>
        </w:tc>
        <w:tc>
          <w:tcPr>
            <w:tcW w:type="dxa" w:w="2600"/>
            <w:vAlign w:val="top"/>
            <w:tcMar>
              <w:top w:w="80" w:type="dxa"/>
              <w:start w:w="120" w:type="dxa"/>
              <w:bottom w:w="80" w:type="dxa"/>
              <w:end w:w="120" w:type="dxa"/>
            </w:tcMar>
          </w:tcPr>
          <w:p>
            <w:pPr>
              <w:spacing w:after="40" w:line="252" w:lineRule="auto"/>
            </w:pPr>
            <w:r>
              <w:rPr>
                <w:sz w:val="18"/>
              </w:rPr>
              <w:t>Banco por defecto, generación/registro/estado de efectos y estampado de IBAN</w:t>
            </w:r>
          </w:p>
        </w:tc>
        <w:tc>
          <w:tcPr>
            <w:tcW w:type="dxa" w:w="2400"/>
            <w:vAlign w:val="top"/>
            <w:tcMar>
              <w:top w:w="80" w:type="dxa"/>
              <w:start w:w="120" w:type="dxa"/>
              <w:bottom w:w="80" w:type="dxa"/>
              <w:end w:w="120" w:type="dxa"/>
            </w:tcMar>
          </w:tcPr>
          <w:p>
            <w:pPr>
              <w:spacing w:after="40" w:line="252" w:lineRule="auto"/>
            </w:pPr>
            <w:r>
              <w:rPr>
                <w:sz w:val="18"/>
              </w:rPr>
              <w:t>Pestaña o modal de cobros</w:t>
            </w:r>
          </w:p>
        </w:tc>
        <w:tc>
          <w:tcPr>
            <w:tcW w:type="dxa" w:w="2660"/>
            <w:vAlign w:val="top"/>
            <w:tcMar>
              <w:top w:w="80" w:type="dxa"/>
              <w:start w:w="120" w:type="dxa"/>
              <w:bottom w:w="80" w:type="dxa"/>
              <w:end w:w="120" w:type="dxa"/>
            </w:tcMar>
          </w:tcPr>
          <w:p>
            <w:pPr>
              <w:spacing w:after="40" w:line="252" w:lineRule="auto"/>
            </w:pPr>
            <w:r>
              <w:rPr>
                <w:sz w:val="18"/>
              </w:rPr>
              <w:t>Repositorio de efectos dentro de una UoW</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IPresentadorEstadoFactura</w:t>
            </w:r>
          </w:p>
        </w:tc>
        <w:tc>
          <w:tcPr>
            <w:tcW w:type="dxa" w:w="2600"/>
            <w:vAlign w:val="top"/>
            <w:tcMar>
              <w:top w:w="80" w:type="dxa"/>
              <w:start w:w="120" w:type="dxa"/>
              <w:bottom w:w="80" w:type="dxa"/>
              <w:end w:w="120" w:type="dxa"/>
            </w:tcMar>
          </w:tcPr>
          <w:p>
            <w:pPr>
              <w:spacing w:after="40" w:line="252" w:lineRule="auto"/>
            </w:pPr>
            <w:r>
              <w:rPr>
                <w:sz w:val="18"/>
              </w:rPr>
              <w:t>Convierte fase, consolidación, modo y estado de dataset en habilitación de UI</w:t>
            </w:r>
          </w:p>
        </w:tc>
        <w:tc>
          <w:tcPr>
            <w:tcW w:type="dxa" w:w="2400"/>
            <w:vAlign w:val="top"/>
            <w:tcMar>
              <w:top w:w="80" w:type="dxa"/>
              <w:start w:w="120" w:type="dxa"/>
              <w:bottom w:w="80" w:type="dxa"/>
              <w:end w:w="120" w:type="dxa"/>
            </w:tcMar>
          </w:tcPr>
          <w:p>
            <w:pPr>
              <w:spacing w:after="40" w:line="252" w:lineRule="auto"/>
            </w:pPr>
            <w:r>
              <w:rPr>
                <w:sz w:val="18"/>
              </w:rPr>
              <w:t>Navegación/edición</w:t>
            </w:r>
          </w:p>
        </w:tc>
        <w:tc>
          <w:tcPr>
            <w:tcW w:type="dxa" w:w="266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IVistaFactura</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IGestorModoEntradaFactura</w:t>
            </w:r>
          </w:p>
        </w:tc>
        <w:tc>
          <w:tcPr>
            <w:tcW w:type="dxa" w:w="2600"/>
            <w:vAlign w:val="top"/>
            <w:tcMar>
              <w:top w:w="80" w:type="dxa"/>
              <w:start w:w="120" w:type="dxa"/>
              <w:bottom w:w="80" w:type="dxa"/>
              <w:end w:w="120" w:type="dxa"/>
            </w:tcMar>
          </w:tcPr>
          <w:p>
            <w:pPr>
              <w:spacing w:after="40" w:line="252" w:lineRule="auto"/>
            </w:pPr>
            <w:r>
              <w:rPr>
                <w:sz w:val="18"/>
              </w:rPr>
              <w:t>Gestiona entrada automática, por SKU o tallas</w:t>
            </w:r>
          </w:p>
        </w:tc>
        <w:tc>
          <w:tcPr>
            <w:tcW w:type="dxa" w:w="2400"/>
            <w:vAlign w:val="top"/>
            <w:tcMar>
              <w:top w:w="80" w:type="dxa"/>
              <w:start w:w="120" w:type="dxa"/>
              <w:bottom w:w="80" w:type="dxa"/>
              <w:end w:w="120" w:type="dxa"/>
            </w:tcMar>
          </w:tcPr>
          <w:p>
            <w:pPr>
              <w:spacing w:after="40" w:line="252" w:lineRule="auto"/>
            </w:pPr>
            <w:r>
              <w:rPr>
                <w:sz w:val="18"/>
              </w:rPr>
              <w:t>Rejilla de líneas</w:t>
            </w:r>
          </w:p>
        </w:tc>
        <w:tc>
          <w:tcPr>
            <w:tcW w:type="dxa" w:w="2660"/>
            <w:vAlign w:val="top"/>
            <w:tcMar>
              <w:top w:w="80" w:type="dxa"/>
              <w:start w:w="120" w:type="dxa"/>
              <w:bottom w:w="80" w:type="dxa"/>
              <w:end w:w="120" w:type="dxa"/>
            </w:tcMar>
          </w:tcPr>
          <w:p>
            <w:pPr>
              <w:spacing w:after="40" w:line="252" w:lineRule="auto"/>
            </w:pPr>
            <w:r>
              <w:rPr>
                <w:sz w:val="18"/>
              </w:rPr>
              <w:t>Adaptador de entrada de la pantalla</w:t>
            </w:r>
          </w:p>
        </w:tc>
      </w:tr>
    </w:tbl>
    <w:p>
      <w:pPr>
        <w:spacing w:after="0"/>
      </w:pPr>
    </w:p>
    <w:p>
      <w:r>
        <w:rPr>
          <w:rFonts w:ascii="Consolas" w:hAnsi="Consolas" w:eastAsia="Consolas"/>
          <w:color w:val="1F4D78"/>
          <w:sz w:val="18"/>
          <w:shd w:fill="F2F5F8"/>
        </w:rPr>
        <w:t>TEstadoVisualFactura</w:t>
      </w:r>
      <w:r>
        <w:t xml:space="preserve"> es el resultado de presentación: indica si la ficha es editable, si hay que refrescar acciones y si puede consolidar o imprimir. La pantalla aplica ese estado, pero no vuelve a decidirlo con condiciones duplicadas. De forma similar, los DTO de cobro transportan serie, número, usuario, banco, efecto, fecha e importe; no entregan componentes visuales ni consultas.</w:t>
      </w:r>
    </w:p>
    <w:p>
      <w:r>
        <w:t xml:space="preserve">En consolidación conviven dos contratos vigentes porque resuelven capas distintas. </w:t>
      </w:r>
      <w:r>
        <w:rPr>
          <w:rFonts w:ascii="Consolas" w:hAnsi="Consolas" w:eastAsia="Consolas"/>
          <w:color w:val="1F4D78"/>
          <w:sz w:val="18"/>
          <w:shd w:fill="F2F5F8"/>
        </w:rPr>
        <w:t>IAplicacionConsolidacionFactura</w:t>
      </w:r>
      <w:r>
        <w:t xml:space="preserve"> es la fachada de presentación de un solo método </w:t>
      </w:r>
      <w:r>
        <w:rPr>
          <w:rFonts w:ascii="Consolas" w:hAnsi="Consolas" w:eastAsia="Consolas"/>
          <w:color w:val="1F4D78"/>
          <w:sz w:val="18"/>
          <w:shd w:fill="F2F5F8"/>
        </w:rPr>
        <w:t>Ejecutar</w:t>
      </w:r>
      <w:r>
        <w:t xml:space="preserve">; su implementación usa </w:t>
      </w:r>
      <w:r>
        <w:rPr>
          <w:rFonts w:ascii="Consolas" w:hAnsi="Consolas" w:eastAsia="Consolas"/>
          <w:color w:val="1F4D78"/>
          <w:sz w:val="18"/>
          <w:shd w:fill="F2F5F8"/>
        </w:rPr>
        <w:t>IVistaFactura</w:t>
      </w:r>
      <w:r>
        <w:t xml:space="preserve"> para confirmar, mostrar resultado, refrescar factura/movimientos y solicitar archivado. Dentro delega en </w:t>
      </w:r>
      <w:r>
        <w:rPr>
          <w:rFonts w:ascii="Consolas" w:hAnsi="Consolas" w:eastAsia="Consolas"/>
          <w:color w:val="1F4D78"/>
          <w:sz w:val="18"/>
          <w:shd w:fill="F2F5F8"/>
        </w:rPr>
        <w:t>ICasoUsoConsolidacionFactura</w:t>
      </w:r>
      <w:r>
        <w:t xml:space="preserve">, que no conoce VCL y expone </w:t>
      </w:r>
      <w:r>
        <w:rPr>
          <w:rFonts w:ascii="Consolas" w:hAnsi="Consolas" w:eastAsia="Consolas"/>
          <w:color w:val="1F4D78"/>
          <w:sz w:val="18"/>
          <w:shd w:fill="F2F5F8"/>
        </w:rPr>
        <w:t>Validar</w:t>
      </w:r>
      <w:r>
        <w:t xml:space="preserve"> y </w:t>
      </w:r>
      <w:r>
        <w:rPr>
          <w:rFonts w:ascii="Consolas" w:hAnsi="Consolas" w:eastAsia="Consolas"/>
          <w:color w:val="1F4D78"/>
          <w:sz w:val="18"/>
          <w:shd w:fill="F2F5F8"/>
        </w:rPr>
        <w:t>Consolidar</w:t>
      </w:r>
      <w:r>
        <w:t xml:space="preserve">. El caso de uso coordina </w:t>
      </w:r>
      <w:r>
        <w:rPr>
          <w:rFonts w:ascii="Consolas" w:hAnsi="Consolas" w:eastAsia="Consolas"/>
          <w:color w:val="1F4D78"/>
          <w:sz w:val="18"/>
          <w:shd w:fill="F2F5F8"/>
        </w:rPr>
        <w:t>IUnidadTrabajoFacturas</w:t>
      </w:r>
      <w:r>
        <w:t xml:space="preserve">, </w:t>
      </w:r>
      <w:r>
        <w:rPr>
          <w:rFonts w:ascii="Consolas" w:hAnsi="Consolas" w:eastAsia="Consolas"/>
          <w:color w:val="1F4D78"/>
          <w:sz w:val="18"/>
          <w:shd w:fill="F2F5F8"/>
        </w:rPr>
        <w:t>IRepositorioConsolidacionFactura</w:t>
      </w:r>
      <w:r>
        <w:t xml:space="preserve">, </w:t>
      </w:r>
      <w:r>
        <w:rPr>
          <w:rFonts w:ascii="Consolas" w:hAnsi="Consolas" w:eastAsia="Consolas"/>
          <w:color w:val="1F4D78"/>
          <w:sz w:val="18"/>
          <w:shd w:fill="F2F5F8"/>
        </w:rPr>
        <w:t>IServicioEmisionFiscal</w:t>
      </w:r>
      <w:r>
        <w:t xml:space="preserve"> e </w:t>
      </w:r>
      <w:r>
        <w:rPr>
          <w:rFonts w:ascii="Consolas" w:hAnsi="Consolas" w:eastAsia="Consolas"/>
          <w:color w:val="1F4D78"/>
          <w:sz w:val="18"/>
          <w:shd w:fill="F2F5F8"/>
        </w:rPr>
        <w:t>IServicioMovimientosFactura</w:t>
      </w:r>
      <w:r>
        <w:t>.</w:t>
      </w:r>
    </w:p>
    <w:p>
      <w:pPr>
        <w:pStyle w:val="CodeBlock"/>
        <w:keepLines/>
        <w:shd w:fill="F2F5F8"/>
      </w:pPr>
      <w:r>
        <w:t>Evento VCL</w:t>
        <w:br/>
        <w:t xml:space="preserve">  → IAplicacionConsolidacionFactura</w:t>
        <w:br/>
        <w:t xml:space="preserve">      → IVistaFactura</w:t>
        <w:br/>
        <w:t xml:space="preserve">      → ICasoUsoConsolidacionFactura</w:t>
        <w:br/>
        <w:t xml:space="preserve">          → UoW + repositorio + emisión fiscal + movimientos</w:t>
      </w:r>
    </w:p>
    <w:p>
      <w:r>
        <w:t xml:space="preserve">El nombre </w:t>
      </w:r>
      <w:r>
        <w:rPr>
          <w:rFonts w:ascii="Consolas" w:hAnsi="Consolas" w:eastAsia="Consolas"/>
          <w:color w:val="1F4D78"/>
          <w:sz w:val="18"/>
          <w:shd w:fill="F2F5F8"/>
        </w:rPr>
        <w:t>IServicioConsolidacionFactura</w:t>
      </w:r>
      <w:r>
        <w:t xml:space="preserve"> aparece en un informe histórico, pero no existe en el árbol actual. Fue reemplazado por este dúo, no por un único contrato.</w:t>
      </w:r>
    </w:p>
    <w:p>
      <w:bookmarkStart w:id="35" w:name="h_026"/>
      <w:pPr>
        <w:pStyle w:val="Heading3"/>
      </w:pPr>
      <w:r>
        <w:t>5.4 Persistencia de facturas por capacidades</w:t>
      </w:r>
      <w:bookmarkEnd w:id="35"/>
    </w:p>
    <w:p>
      <w:r>
        <w:t xml:space="preserve">El record </w:t>
      </w:r>
      <w:r>
        <w:rPr>
          <w:rFonts w:ascii="Consolas" w:hAnsi="Consolas" w:eastAsia="Consolas"/>
          <w:color w:val="1F4D78"/>
          <w:sz w:val="18"/>
          <w:shd w:fill="F2F5F8"/>
        </w:rPr>
        <w:t>TPersistenciaFacturas</w:t>
      </w:r>
      <w:r>
        <w:t xml:space="preserve"> agrupa puertos pequeños sin convertirlos en una interfaz gigante:</w:t>
      </w:r>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2200"/>
        <w:gridCol w:w="3500"/>
        <w:gridCol w:w="3660"/>
      </w:tblGrid>
      <w:tr>
        <w:trPr>
          <w:tblHeader w:val="true"/>
        </w:trPr>
        <w:tc>
          <w:tcPr>
            <w:tcW w:type="dxa" w:w="2200"/>
            <w:vAlign w:val="top"/>
            <w:shd w:fill="E8EEF5"/>
            <w:tcMar>
              <w:top w:w="80" w:type="dxa"/>
              <w:start w:w="120" w:type="dxa"/>
              <w:bottom w:w="80" w:type="dxa"/>
              <w:end w:w="120" w:type="dxa"/>
            </w:tcMar>
          </w:tcPr>
          <w:p>
            <w:pPr>
              <w:spacing w:after="40" w:line="252" w:lineRule="auto"/>
            </w:pPr>
            <w:r>
              <w:rPr>
                <w:b/>
                <w:color w:val="1F4D78"/>
                <w:sz w:val="18"/>
              </w:rPr>
              <w:t>Puerto</w:t>
            </w:r>
          </w:p>
        </w:tc>
        <w:tc>
          <w:tcPr>
            <w:tcW w:type="dxa" w:w="3500"/>
            <w:vAlign w:val="top"/>
            <w:shd w:fill="E8EEF5"/>
            <w:tcMar>
              <w:top w:w="80" w:type="dxa"/>
              <w:start w:w="120" w:type="dxa"/>
              <w:bottom w:w="80" w:type="dxa"/>
              <w:end w:w="120" w:type="dxa"/>
            </w:tcMar>
          </w:tcPr>
          <w:p>
            <w:pPr>
              <w:spacing w:after="40" w:line="252" w:lineRule="auto"/>
            </w:pPr>
            <w:r>
              <w:rPr>
                <w:b/>
                <w:color w:val="1F4D78"/>
                <w:sz w:val="18"/>
              </w:rPr>
              <w:t>Operaciones protegidas</w:t>
            </w:r>
          </w:p>
        </w:tc>
        <w:tc>
          <w:tcPr>
            <w:tcW w:type="dxa" w:w="3660"/>
            <w:vAlign w:val="top"/>
            <w:shd w:fill="E8EEF5"/>
            <w:tcMar>
              <w:top w:w="80" w:type="dxa"/>
              <w:start w:w="120" w:type="dxa"/>
              <w:bottom w:w="80" w:type="dxa"/>
              <w:end w:w="120" w:type="dxa"/>
            </w:tcMar>
          </w:tcPr>
          <w:p>
            <w:pPr>
              <w:spacing w:after="40" w:line="252" w:lineRule="auto"/>
            </w:pPr>
            <w:r>
              <w:rPr>
                <w:b/>
                <w:color w:val="1F4D78"/>
                <w:sz w:val="18"/>
              </w:rPr>
              <w:t>Invariantes</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IRepositorioBorradoFactura</w:t>
            </w:r>
          </w:p>
        </w:tc>
        <w:tc>
          <w:tcPr>
            <w:tcW w:type="dxa" w:w="3500"/>
            <w:vAlign w:val="top"/>
            <w:tcMar>
              <w:top w:w="80" w:type="dxa"/>
              <w:start w:w="120" w:type="dxa"/>
              <w:bottom w:w="80" w:type="dxa"/>
              <w:end w:w="120" w:type="dxa"/>
            </w:tcMar>
          </w:tcPr>
          <w:p>
            <w:pPr>
              <w:spacing w:after="40" w:line="252" w:lineRule="auto"/>
            </w:pPr>
            <w:r>
              <w:rPr>
                <w:sz w:val="18"/>
              </w:rPr>
              <w:t>Comprobar efectos cobrados y borrar efectos, líneas y recibos</w:t>
            </w:r>
          </w:p>
        </w:tc>
        <w:tc>
          <w:tcPr>
            <w:tcW w:type="dxa" w:w="3660"/>
            <w:vAlign w:val="top"/>
            <w:tcMar>
              <w:top w:w="80" w:type="dxa"/>
              <w:start w:w="120" w:type="dxa"/>
              <w:bottom w:w="80" w:type="dxa"/>
              <w:end w:w="120" w:type="dxa"/>
            </w:tcMar>
          </w:tcPr>
          <w:p>
            <w:pPr>
              <w:spacing w:after="40" w:line="252" w:lineRule="auto"/>
            </w:pPr>
            <w:r>
              <w:rPr>
                <w:sz w:val="18"/>
              </w:rPr>
              <w:t>Nunca borrar si existe cobro irreversible; cabecera y relaciones se coordinan en UoW</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IRepositorioReaperturaFactura</w:t>
            </w:r>
          </w:p>
        </w:tc>
        <w:tc>
          <w:tcPr>
            <w:tcW w:type="dxa" w:w="3500"/>
            <w:vAlign w:val="top"/>
            <w:tcMar>
              <w:top w:w="80" w:type="dxa"/>
              <w:start w:w="120" w:type="dxa"/>
              <w:bottom w:w="80" w:type="dxa"/>
              <w:end w:w="120" w:type="dxa"/>
            </w:tcMar>
          </w:tcPr>
          <w:p>
            <w:pPr>
              <w:spacing w:after="40" w:line="252" w:lineRule="auto"/>
            </w:pPr>
            <w:r>
              <w:rPr>
                <w:sz w:val="18"/>
              </w:rPr>
              <w:t>Cargar y bloquear estado, aparcar alta fiscal, volver a borrador</w:t>
            </w:r>
          </w:p>
        </w:tc>
        <w:tc>
          <w:tcPr>
            <w:tcW w:type="dxa" w:w="3660"/>
            <w:vAlign w:val="top"/>
            <w:tcMar>
              <w:top w:w="80" w:type="dxa"/>
              <w:start w:w="120" w:type="dxa"/>
              <w:bottom w:w="80" w:type="dxa"/>
              <w:end w:w="120" w:type="dxa"/>
            </w:tcMar>
          </w:tcPr>
          <w:p>
            <w:pPr>
              <w:spacing w:after="40" w:line="252" w:lineRule="auto"/>
            </w:pPr>
            <w:r>
              <w:rPr>
                <w:sz w:val="18"/>
              </w:rPr>
              <w:t>No reabrir consolidada, alta AEAT enviada o registro en proceso</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IRepositorioConsolidacionFactura</w:t>
            </w:r>
          </w:p>
        </w:tc>
        <w:tc>
          <w:tcPr>
            <w:tcW w:type="dxa" w:w="3500"/>
            <w:vAlign w:val="top"/>
            <w:tcMar>
              <w:top w:w="80" w:type="dxa"/>
              <w:start w:w="120" w:type="dxa"/>
              <w:bottom w:w="80" w:type="dxa"/>
              <w:end w:w="120" w:type="dxa"/>
            </w:tcMar>
          </w:tcPr>
          <w:p>
            <w:pPr>
              <w:spacing w:after="40" w:line="252" w:lineRule="auto"/>
            </w:pPr>
            <w:r>
              <w:rPr>
                <w:sz w:val="18"/>
              </w:rPr>
              <w:t>Cargar contexto consolidable bajo bloqueo</w:t>
            </w:r>
          </w:p>
        </w:tc>
        <w:tc>
          <w:tcPr>
            <w:tcW w:type="dxa" w:w="3660"/>
            <w:vAlign w:val="top"/>
            <w:tcMar>
              <w:top w:w="80" w:type="dxa"/>
              <w:start w:w="120" w:type="dxa"/>
              <w:bottom w:w="80" w:type="dxa"/>
              <w:end w:w="120" w:type="dxa"/>
            </w:tcMar>
          </w:tcPr>
          <w:p>
            <w:pPr>
              <w:spacing w:after="40" w:line="252" w:lineRule="auto"/>
            </w:pPr>
            <w:r>
              <w:rPr>
                <w:sz w:val="18"/>
              </w:rPr>
              <w:t>Validar fase, tipo, cliente, empresa, caja, líneas y stock antes de emitir</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IRepositorioEfectosFactura</w:t>
            </w:r>
          </w:p>
        </w:tc>
        <w:tc>
          <w:tcPr>
            <w:tcW w:type="dxa" w:w="3500"/>
            <w:vAlign w:val="top"/>
            <w:tcMar>
              <w:top w:w="80" w:type="dxa"/>
              <w:start w:w="120" w:type="dxa"/>
              <w:bottom w:w="80" w:type="dxa"/>
              <w:end w:w="120" w:type="dxa"/>
            </w:tcMar>
          </w:tcPr>
          <w:p>
            <w:pPr>
              <w:spacing w:after="40" w:line="252" w:lineRule="auto"/>
            </w:pPr>
            <w:r>
              <w:rPr>
                <w:sz w:val="18"/>
              </w:rPr>
              <w:t>Generar, cobrar, cambiar estado y estampar banco/IBAN</w:t>
            </w:r>
          </w:p>
        </w:tc>
        <w:tc>
          <w:tcPr>
            <w:tcW w:type="dxa" w:w="3660"/>
            <w:vAlign w:val="top"/>
            <w:tcMar>
              <w:top w:w="80" w:type="dxa"/>
              <w:start w:w="120" w:type="dxa"/>
              <w:bottom w:w="80" w:type="dxa"/>
              <w:end w:w="120" w:type="dxa"/>
            </w:tcMar>
          </w:tcPr>
          <w:p>
            <w:pPr>
              <w:spacing w:after="40" w:line="252" w:lineRule="auto"/>
            </w:pPr>
            <w:r>
              <w:rPr>
                <w:sz w:val="18"/>
              </w:rPr>
              <w:t>Redondeo y transición de estado coherentes; operación atómica</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IRepositorioMovimientosFactura</w:t>
            </w:r>
          </w:p>
        </w:tc>
        <w:tc>
          <w:tcPr>
            <w:tcW w:type="dxa" w:w="3500"/>
            <w:vAlign w:val="top"/>
            <w:tcMar>
              <w:top w:w="80" w:type="dxa"/>
              <w:start w:w="120" w:type="dxa"/>
              <w:bottom w:w="80" w:type="dxa"/>
              <w:end w:w="120" w:type="dxa"/>
            </w:tcMar>
          </w:tcPr>
          <w:p>
            <w:pPr>
              <w:spacing w:after="40" w:line="252" w:lineRule="auto"/>
            </w:pPr>
            <w:r>
              <w:rPr>
                <w:sz w:val="18"/>
              </w:rPr>
              <w:t>Leer líneas, detectar/insertar movimientos, enlazar y recalcular</w:t>
            </w:r>
          </w:p>
        </w:tc>
        <w:tc>
          <w:tcPr>
            <w:tcW w:type="dxa" w:w="3660"/>
            <w:vAlign w:val="top"/>
            <w:tcMar>
              <w:top w:w="80" w:type="dxa"/>
              <w:start w:w="120" w:type="dxa"/>
              <w:bottom w:w="80" w:type="dxa"/>
              <w:end w:w="120" w:type="dxa"/>
            </w:tcMar>
          </w:tcPr>
          <w:p>
            <w:pPr>
              <w:spacing w:after="40" w:line="252" w:lineRule="auto"/>
            </w:pPr>
            <w:r>
              <w:rPr>
                <w:sz w:val="18"/>
              </w:rPr>
              <w:t>Idempotencia por documento/línea y signo correcto</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IRepositorioPdfFactura</w:t>
            </w:r>
          </w:p>
        </w:tc>
        <w:tc>
          <w:tcPr>
            <w:tcW w:type="dxa" w:w="3500"/>
            <w:vAlign w:val="top"/>
            <w:tcMar>
              <w:top w:w="80" w:type="dxa"/>
              <w:start w:w="120" w:type="dxa"/>
              <w:bottom w:w="80" w:type="dxa"/>
              <w:end w:w="120" w:type="dxa"/>
            </w:tcMar>
          </w:tcPr>
          <w:p>
            <w:pPr>
              <w:spacing w:after="40" w:line="252" w:lineRule="auto"/>
            </w:pPr>
            <w:r>
              <w:rPr>
                <w:sz w:val="18"/>
              </w:rPr>
              <w:t>Asociar un PDF generado a serie/número/formato</w:t>
            </w:r>
          </w:p>
        </w:tc>
        <w:tc>
          <w:tcPr>
            <w:tcW w:type="dxa" w:w="3660"/>
            <w:vAlign w:val="top"/>
            <w:tcMar>
              <w:top w:w="80" w:type="dxa"/>
              <w:start w:w="120" w:type="dxa"/>
              <w:bottom w:w="80" w:type="dxa"/>
              <w:end w:w="120" w:type="dxa"/>
            </w:tcMar>
          </w:tcPr>
          <w:p>
            <w:pPr>
              <w:spacing w:after="40" w:line="252" w:lineRule="auto"/>
            </w:pPr>
            <w:r>
              <w:rPr>
                <w:sz w:val="18"/>
              </w:rPr>
              <w:t>Publicar solo archivo completo y autorizado</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IUnidadTrabajoFacturas</w:t>
            </w:r>
          </w:p>
        </w:tc>
        <w:tc>
          <w:tcPr>
            <w:tcW w:type="dxa" w:w="3500"/>
            <w:vAlign w:val="top"/>
            <w:tcMar>
              <w:top w:w="80" w:type="dxa"/>
              <w:start w:w="120" w:type="dxa"/>
              <w:bottom w:w="80" w:type="dxa"/>
              <w:end w:w="120" w:type="dxa"/>
            </w:tcMar>
          </w:tcPr>
          <w:p>
            <w:pPr>
              <w:spacing w:after="40" w:line="252" w:lineRule="auto"/>
            </w:pPr>
            <w:r>
              <w:rPr>
                <w:sz w:val="18"/>
              </w:rPr>
              <w:t>Ejecutar una función completa dentro de una transacción</w:t>
            </w:r>
          </w:p>
        </w:tc>
        <w:tc>
          <w:tcPr>
            <w:tcW w:type="dxa" w:w="3660"/>
            <w:vAlign w:val="top"/>
            <w:tcMar>
              <w:top w:w="80" w:type="dxa"/>
              <w:start w:w="120" w:type="dxa"/>
              <w:bottom w:w="80" w:type="dxa"/>
              <w:end w:w="120" w:type="dxa"/>
            </w:tcMar>
          </w:tcPr>
          <w:p>
            <w:pPr>
              <w:spacing w:after="40" w:line="252" w:lineRule="auto"/>
            </w:pPr>
            <w:r>
              <w:rPr>
                <w:sz w:val="18"/>
              </w:rPr>
              <w:t>Un único commit; cualquier fallo revierte toda la operación</w:t>
            </w:r>
          </w:p>
        </w:tc>
      </w:tr>
    </w:tbl>
    <w:p>
      <w:pPr>
        <w:spacing w:after="0"/>
      </w:pPr>
    </w:p>
    <w:p>
      <w:r>
        <w:t xml:space="preserve">Los adaptadores se encuentran en módulos </w:t>
      </w:r>
      <w:r>
        <w:rPr>
          <w:rFonts w:ascii="Consolas" w:hAnsi="Consolas" w:eastAsia="Consolas"/>
          <w:color w:val="1F4D78"/>
          <w:sz w:val="18"/>
          <w:shd w:fill="F2F5F8"/>
        </w:rPr>
        <w:t>UniData*</w:t>
      </w:r>
      <w:r>
        <w:t xml:space="preserve">. Un servicio de aplicación recibe el conjunto </w:t>
      </w:r>
      <w:r>
        <w:rPr>
          <w:rFonts w:ascii="Consolas" w:hAnsi="Consolas" w:eastAsia="Consolas"/>
          <w:color w:val="1F4D78"/>
          <w:sz w:val="18"/>
          <w:shd w:fill="F2F5F8"/>
        </w:rPr>
        <w:t>TPersistenciaFacturas</w:t>
      </w:r>
      <w:r>
        <w:t>; no localiza módulos globales ni crea conexiones ocultas. Cuando se necesita una nueva operación persistente, se decide si pertenece a uno de los puertos existentes. Si obliga a consumidores no relacionados a implementar métodos, debe nacer una capacidad nueva.</w:t>
      </w:r>
    </w:p>
    <w:p>
      <w:r>
        <w:rPr>
          <w:rFonts w:ascii="Consolas" w:hAnsi="Consolas" w:eastAsia="Consolas"/>
          <w:color w:val="1F4D78"/>
          <w:sz w:val="18"/>
          <w:shd w:fill="F2F5F8"/>
        </w:rPr>
        <w:t>TPersistenciaFacturasUniDAC</w:t>
      </w:r>
      <w:r>
        <w:t xml:space="preserve"> implementa actualmente las siete vistas estrechas del record. Esto sigue siendo ISP: cada consumidor recibe solo la capacidad necesaria aunque un único adaptador técnico implemente varias. Al ser referencias de interfaz, se liberan asignando </w:t>
      </w:r>
      <w:r>
        <w:rPr>
          <w:rFonts w:ascii="Consolas" w:hAnsi="Consolas" w:eastAsia="Consolas"/>
          <w:color w:val="1F4D78"/>
          <w:sz w:val="18"/>
          <w:shd w:fill="F2F5F8"/>
        </w:rPr>
        <w:t>nil</w:t>
      </w:r>
      <w:r>
        <w:t xml:space="preserve">, nunca con </w:t>
      </w:r>
      <w:r>
        <w:rPr>
          <w:rFonts w:ascii="Consolas" w:hAnsi="Consolas" w:eastAsia="Consolas"/>
          <w:color w:val="1F4D78"/>
          <w:sz w:val="18"/>
          <w:shd w:fill="F2F5F8"/>
        </w:rPr>
        <w:t>Free</w:t>
      </w:r>
      <w:r>
        <w:t>.</w:t>
      </w:r>
    </w:p>
    <w:p>
      <w:r>
        <w:rPr>
          <w:rFonts w:ascii="Consolas" w:hAnsi="Consolas" w:eastAsia="Consolas"/>
          <w:color w:val="1F4D78"/>
          <w:sz w:val="18"/>
          <w:shd w:fill="F2F5F8"/>
        </w:rPr>
        <w:t>IServicioBorradoFactura</w:t>
      </w:r>
      <w:r>
        <w:t xml:space="preserve"> es deliberadamente stateful: </w:t>
      </w:r>
      <w:r>
        <w:rPr>
          <w:rFonts w:ascii="Consolas" w:hAnsi="Consolas" w:eastAsia="Consolas"/>
          <w:color w:val="1F4D78"/>
          <w:sz w:val="18"/>
          <w:shd w:fill="F2F5F8"/>
        </w:rPr>
        <w:t>Preparar</w:t>
      </w:r>
      <w:r>
        <w:t xml:space="preserve"> abre únicamente una transacción propia, </w:t>
      </w:r>
      <w:r>
        <w:rPr>
          <w:rFonts w:ascii="Consolas" w:hAnsi="Consolas" w:eastAsia="Consolas"/>
          <w:color w:val="1F4D78"/>
          <w:sz w:val="18"/>
          <w:shd w:fill="F2F5F8"/>
        </w:rPr>
        <w:t>Confirmar</w:t>
      </w:r>
      <w:r>
        <w:t xml:space="preserve"> la confirma, </w:t>
      </w:r>
      <w:r>
        <w:rPr>
          <w:rFonts w:ascii="Consolas" w:hAnsi="Consolas" w:eastAsia="Consolas"/>
          <w:color w:val="1F4D78"/>
          <w:sz w:val="18"/>
          <w:shd w:fill="F2F5F8"/>
        </w:rPr>
        <w:t>Revertir</w:t>
      </w:r>
      <w:r>
        <w:t xml:space="preserve"> la deshace y el destructor revierte por seguridad. Una instancia no se comparte entre operaciones concurrentes ni se conserva como servicio global.</w:t>
      </w:r>
    </w:p>
    <w:p>
      <w:bookmarkStart w:id="36" w:name="h_027"/>
      <w:pPr>
        <w:pStyle w:val="Heading3"/>
      </w:pPr>
      <w:r>
        <w:t>5.5 Lecturas, validación y operación fiscal</w:t>
      </w:r>
      <w:bookmarkEnd w:id="36"/>
    </w:p>
    <w:p>
      <w:r>
        <w:rPr>
          <w:rFonts w:ascii="Consolas" w:hAnsi="Consolas" w:eastAsia="Consolas"/>
          <w:color w:val="1F4D78"/>
          <w:sz w:val="18"/>
          <w:shd w:fill="F2F5F8"/>
        </w:rPr>
        <w:t>IRepositorioLecturasFactura</w:t>
      </w:r>
      <w:r>
        <w:t xml:space="preserve"> concentra lecturas auxiliares del cálculo: visibilidad de SKU, número de líneas, configuración de IVA, retención, régimen agrícola, cliente con tarifa y empresa. Los datasets devueltos pertenecen al llamador. Esta regla de propiedad evita fugas y dobles liberaciones; debe aparecer en tests de adaptador.</w:t>
      </w:r>
    </w:p>
    <w:p>
      <w:r>
        <w:t xml:space="preserve">Algunas costuras siguen siendo transicionales: lecturas de factura, exportación NO_VERIFACTU y Facturae exponen </w:t>
      </w:r>
      <w:r>
        <w:rPr>
          <w:rFonts w:ascii="Consolas" w:hAnsi="Consolas" w:eastAsia="Consolas"/>
          <w:color w:val="1F4D78"/>
          <w:sz w:val="18"/>
          <w:shd w:fill="F2F5F8"/>
        </w:rPr>
        <w:t>TDataSet</w:t>
      </w:r>
      <w:r>
        <w:t xml:space="preserve">, y ciertos servicios aún reciben </w:t>
      </w:r>
      <w:r>
        <w:rPr>
          <w:rFonts w:ascii="Consolas" w:hAnsi="Consolas" w:eastAsia="Consolas"/>
          <w:color w:val="1F4D78"/>
          <w:sz w:val="18"/>
          <w:shd w:fill="F2F5F8"/>
        </w:rPr>
        <w:t>TUniConnection</w:t>
      </w:r>
      <w:r>
        <w:t>. La tarea arquitectónica IA-S133 persigue que ninguna conexión, query o dataset UniDAC atraviese UI o dominio. Mientras se completa, cada interfaz documenta propietario y el consumidor libera el dataset; no se oculta esta deuda bajo un nombre de puerto.</w:t>
      </w:r>
    </w:p>
    <w:p>
      <w:r>
        <w:t>La familia de servicios de factura separa validación fiscal, validación de cabecera, borrado y persistencia de cliente/empresa. Los errores de validación usan un campo tipado, por ejemplo serie, razón social, país, fecha, NIF u operación fiscal, para que la vista enfoque el control correcto sin interpretar mensajes.</w:t>
      </w:r>
    </w:p>
    <w:p>
      <w:r>
        <w:rPr>
          <w:rFonts w:ascii="Consolas" w:hAnsi="Consolas" w:eastAsia="Consolas"/>
          <w:color w:val="1F4D78"/>
          <w:sz w:val="18"/>
          <w:shd w:fill="F2F5F8"/>
        </w:rPr>
        <w:t>IServicioEmisionFiscal</w:t>
      </w:r>
      <w:r>
        <w:t xml:space="preserve"> es la fachada única del modo fiscal. Recibe </w:t>
      </w:r>
      <w:r>
        <w:rPr>
          <w:rFonts w:ascii="Consolas" w:hAnsi="Consolas" w:eastAsia="Consolas"/>
          <w:color w:val="1F4D78"/>
          <w:sz w:val="18"/>
          <w:shd w:fill="F2F5F8"/>
        </w:rPr>
        <w:t>TSolicitudEmisionFiscal</w:t>
      </w:r>
      <w:r>
        <w:t xml:space="preserve"> y devuelve modo y mensaje. La solicitud distingue operación, alta y consolidación; incluye usuario, acción, borrado de movimientos y registro de evento. Los formularios no deben preguntar directamente por tablas de cola para decidir el flujo.</w:t>
      </w:r>
    </w:p>
    <w:p>
      <w:r>
        <w:rPr>
          <w:rFonts w:ascii="Consolas" w:hAnsi="Consolas" w:eastAsia="Consolas"/>
          <w:color w:val="1F4D78"/>
          <w:sz w:val="18"/>
          <w:shd w:fill="F2F5F8"/>
        </w:rPr>
        <w:t>IServicioVerifactuCola</w:t>
      </w:r>
      <w:r>
        <w:t xml:space="preserve"> expone encolado, registro NO_VERIFACTU, marcado SIN, borrado de movimientos, rectificativas y relaciones. </w:t>
      </w:r>
      <w:r>
        <w:rPr>
          <w:rFonts w:ascii="Consolas" w:hAnsi="Consolas" w:eastAsia="Consolas"/>
          <w:color w:val="1F4D78"/>
          <w:sz w:val="18"/>
          <w:shd w:fill="F2F5F8"/>
        </w:rPr>
        <w:t>IProcesadorVerifactuCola</w:t>
      </w:r>
      <w:r>
        <w:t xml:space="preserve"> controla el ciclo del trabajador. Son contratos diferentes: solicitar una operación no equivale a administrar el hilo. Cada trabajador usa su propia conexión, reclamación optimista y trazas correlacionadas.</w:t>
      </w:r>
    </w:p>
    <w:p>
      <w:bookmarkStart w:id="37" w:name="h_028"/>
      <w:pPr>
        <w:pStyle w:val="Heading3"/>
      </w:pPr>
      <w:r>
        <w:t>5.6 Incidencias, Facturae e impresión</w:t>
      </w:r>
      <w:bookmarkEnd w:id="37"/>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2200"/>
        <w:gridCol w:w="3500"/>
        <w:gridCol w:w="3660"/>
      </w:tblGrid>
      <w:tr>
        <w:trPr>
          <w:tblHeader w:val="true"/>
        </w:trPr>
        <w:tc>
          <w:tcPr>
            <w:tcW w:type="dxa" w:w="2200"/>
            <w:vAlign w:val="top"/>
            <w:shd w:fill="E8EEF5"/>
            <w:tcMar>
              <w:top w:w="80" w:type="dxa"/>
              <w:start w:w="120" w:type="dxa"/>
              <w:bottom w:w="80" w:type="dxa"/>
              <w:end w:w="120" w:type="dxa"/>
            </w:tcMar>
          </w:tcPr>
          <w:p>
            <w:pPr>
              <w:spacing w:after="40" w:line="252" w:lineRule="auto"/>
            </w:pPr>
            <w:r>
              <w:rPr>
                <w:b/>
                <w:color w:val="1F4D78"/>
                <w:sz w:val="18"/>
              </w:rPr>
              <w:t>Contrato</w:t>
            </w:r>
          </w:p>
        </w:tc>
        <w:tc>
          <w:tcPr>
            <w:tcW w:type="dxa" w:w="3500"/>
            <w:vAlign w:val="top"/>
            <w:shd w:fill="E8EEF5"/>
            <w:tcMar>
              <w:top w:w="80" w:type="dxa"/>
              <w:start w:w="120" w:type="dxa"/>
              <w:bottom w:w="80" w:type="dxa"/>
              <w:end w:w="120" w:type="dxa"/>
            </w:tcMar>
          </w:tcPr>
          <w:p>
            <w:pPr>
              <w:spacing w:after="40" w:line="252" w:lineRule="auto"/>
            </w:pPr>
            <w:r>
              <w:rPr>
                <w:b/>
                <w:color w:val="1F4D78"/>
                <w:sz w:val="18"/>
              </w:rPr>
              <w:t>Responsabilidad documental</w:t>
            </w:r>
          </w:p>
        </w:tc>
        <w:tc>
          <w:tcPr>
            <w:tcW w:type="dxa" w:w="3660"/>
            <w:vAlign w:val="top"/>
            <w:shd w:fill="E8EEF5"/>
            <w:tcMar>
              <w:top w:w="80" w:type="dxa"/>
              <w:start w:w="120" w:type="dxa"/>
              <w:bottom w:w="80" w:type="dxa"/>
              <w:end w:w="120" w:type="dxa"/>
            </w:tcMar>
          </w:tcPr>
          <w:p>
            <w:pPr>
              <w:spacing w:after="40" w:line="252" w:lineRule="auto"/>
            </w:pPr>
            <w:r>
              <w:rPr>
                <w:b/>
                <w:color w:val="1F4D78"/>
                <w:sz w:val="18"/>
              </w:rPr>
              <w:t>Límite</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IRepositorioIncidenciaFiscalFactura</w:t>
            </w:r>
          </w:p>
        </w:tc>
        <w:tc>
          <w:tcPr>
            <w:tcW w:type="dxa" w:w="3500"/>
            <w:vAlign w:val="top"/>
            <w:tcMar>
              <w:top w:w="80" w:type="dxa"/>
              <w:start w:w="120" w:type="dxa"/>
              <w:bottom w:w="80" w:type="dxa"/>
              <w:end w:w="120" w:type="dxa"/>
            </w:tcMar>
          </w:tcPr>
          <w:p>
            <w:pPr>
              <w:spacing w:after="40" w:line="252" w:lineRule="auto"/>
            </w:pPr>
            <w:r>
              <w:rPr>
                <w:sz w:val="18"/>
              </w:rPr>
              <w:t>Cargar factura/error/cliente y crear rectificativa R4</w:t>
            </w:r>
          </w:p>
        </w:tc>
        <w:tc>
          <w:tcPr>
            <w:tcW w:type="dxa" w:w="3660"/>
            <w:vAlign w:val="top"/>
            <w:tcMar>
              <w:top w:w="80" w:type="dxa"/>
              <w:start w:w="120" w:type="dxa"/>
              <w:bottom w:w="80" w:type="dxa"/>
              <w:end w:w="120" w:type="dxa"/>
            </w:tcMar>
          </w:tcPr>
          <w:p>
            <w:pPr>
              <w:spacing w:after="40" w:line="252" w:lineRule="auto"/>
            </w:pPr>
            <w:r>
              <w:rPr>
                <w:sz w:val="18"/>
              </w:rPr>
              <w:t>Persistencia; no muestra diálogos</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IServicioIncidenciaFiscalFactura</w:t>
            </w:r>
          </w:p>
        </w:tc>
        <w:tc>
          <w:tcPr>
            <w:tcW w:type="dxa" w:w="3500"/>
            <w:vAlign w:val="top"/>
            <w:tcMar>
              <w:top w:w="80" w:type="dxa"/>
              <w:start w:w="120" w:type="dxa"/>
              <w:bottom w:w="80" w:type="dxa"/>
              <w:end w:w="120" w:type="dxa"/>
            </w:tcMar>
          </w:tcPr>
          <w:p>
            <w:pPr>
              <w:spacing w:after="40" w:line="252" w:lineRule="auto"/>
            </w:pPr>
            <w:r>
              <w:rPr>
                <w:sz w:val="18"/>
              </w:rPr>
              <w:t>Validar y resolver mediante subsanación o rectificación</w:t>
            </w:r>
          </w:p>
        </w:tc>
        <w:tc>
          <w:tcPr>
            <w:tcW w:type="dxa" w:w="3660"/>
            <w:vAlign w:val="top"/>
            <w:tcMar>
              <w:top w:w="80" w:type="dxa"/>
              <w:start w:w="120" w:type="dxa"/>
              <w:bottom w:w="80" w:type="dxa"/>
              <w:end w:w="120" w:type="dxa"/>
            </w:tcMar>
          </w:tcPr>
          <w:p>
            <w:pPr>
              <w:spacing w:after="40" w:line="252" w:lineRule="auto"/>
            </w:pPr>
            <w:r>
              <w:rPr>
                <w:sz w:val="18"/>
              </w:rPr>
              <w:t>Aplicación; devuelve resultado tipado</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IRepositorioFacturae</w:t>
            </w:r>
          </w:p>
        </w:tc>
        <w:tc>
          <w:tcPr>
            <w:tcW w:type="dxa" w:w="3500"/>
            <w:vAlign w:val="top"/>
            <w:tcMar>
              <w:top w:w="80" w:type="dxa"/>
              <w:start w:w="120" w:type="dxa"/>
              <w:bottom w:w="80" w:type="dxa"/>
              <w:end w:w="120" w:type="dxa"/>
            </w:tcMar>
          </w:tcPr>
          <w:p>
            <w:pPr>
              <w:spacing w:after="40" w:line="252" w:lineRule="auto"/>
            </w:pPr>
            <w:r>
              <w:rPr>
                <w:sz w:val="18"/>
              </w:rPr>
              <w:t>Certificado de empresa, cabecera/líneas y guardado de XML</w:t>
            </w:r>
          </w:p>
        </w:tc>
        <w:tc>
          <w:tcPr>
            <w:tcW w:type="dxa" w:w="3660"/>
            <w:vAlign w:val="top"/>
            <w:tcMar>
              <w:top w:w="80" w:type="dxa"/>
              <w:start w:w="120" w:type="dxa"/>
              <w:bottom w:w="80" w:type="dxa"/>
              <w:end w:w="120" w:type="dxa"/>
            </w:tcMar>
          </w:tcPr>
          <w:p>
            <w:pPr>
              <w:spacing w:after="40" w:line="252" w:lineRule="auto"/>
            </w:pPr>
            <w:r>
              <w:rPr>
                <w:sz w:val="18"/>
              </w:rPr>
              <w:t>Adaptador de datos; el generador controla Facturae 3.2.2</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IRepositorioFormatosImpresion</w:t>
            </w:r>
          </w:p>
        </w:tc>
        <w:tc>
          <w:tcPr>
            <w:tcW w:type="dxa" w:w="3500"/>
            <w:vAlign w:val="top"/>
            <w:tcMar>
              <w:top w:w="80" w:type="dxa"/>
              <w:start w:w="120" w:type="dxa"/>
              <w:bottom w:w="80" w:type="dxa"/>
              <w:end w:w="120" w:type="dxa"/>
            </w:tcMar>
          </w:tcPr>
          <w:p>
            <w:pPr>
              <w:spacing w:after="40" w:line="252" w:lineRule="auto"/>
            </w:pPr>
            <w:r>
              <w:rPr>
                <w:sz w:val="18"/>
              </w:rPr>
              <w:t>Listar, leer, guardar y eliminar formatos</w:t>
            </w:r>
          </w:p>
        </w:tc>
        <w:tc>
          <w:tcPr>
            <w:tcW w:type="dxa" w:w="3660"/>
            <w:vAlign w:val="top"/>
            <w:tcMar>
              <w:top w:w="80" w:type="dxa"/>
              <w:start w:w="120" w:type="dxa"/>
              <w:bottom w:w="80" w:type="dxa"/>
              <w:end w:w="120" w:type="dxa"/>
            </w:tcMar>
          </w:tcPr>
          <w:p>
            <w:pPr>
              <w:spacing w:after="40" w:line="252" w:lineRule="auto"/>
            </w:pPr>
            <w:r>
              <w:rPr>
                <w:sz w:val="18"/>
              </w:rPr>
              <w:t>Propiedad por usuario/grupo y streams</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IRepositorioGuiasFormatoImpresion</w:t>
            </w:r>
          </w:p>
        </w:tc>
        <w:tc>
          <w:tcPr>
            <w:tcW w:type="dxa" w:w="3500"/>
            <w:vAlign w:val="top"/>
            <w:tcMar>
              <w:top w:w="80" w:type="dxa"/>
              <w:start w:w="120" w:type="dxa"/>
              <w:bottom w:w="80" w:type="dxa"/>
              <w:end w:w="120" w:type="dxa"/>
            </w:tcMar>
          </w:tcPr>
          <w:p>
            <w:pPr>
              <w:spacing w:after="40" w:line="252" w:lineRule="auto"/>
            </w:pPr>
            <w:r>
              <w:rPr>
                <w:sz w:val="18"/>
              </w:rPr>
              <w:t>Consolidar guía de un informe/formato</w:t>
            </w:r>
          </w:p>
        </w:tc>
        <w:tc>
          <w:tcPr>
            <w:tcW w:type="dxa" w:w="3660"/>
            <w:vAlign w:val="top"/>
            <w:tcMar>
              <w:top w:w="80" w:type="dxa"/>
              <w:start w:w="120" w:type="dxa"/>
              <w:bottom w:w="80" w:type="dxa"/>
              <w:end w:w="120" w:type="dxa"/>
            </w:tcMar>
          </w:tcPr>
          <w:p>
            <w:pPr>
              <w:spacing w:after="40" w:line="252" w:lineRule="auto"/>
            </w:pPr>
            <w:r>
              <w:rPr>
                <w:sz w:val="18"/>
              </w:rPr>
              <w:t>No altera el dataset original</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IEnriquecedorGuiasImpresion</w:t>
            </w:r>
          </w:p>
        </w:tc>
        <w:tc>
          <w:tcPr>
            <w:tcW w:type="dxa" w:w="3500"/>
            <w:vAlign w:val="top"/>
            <w:tcMar>
              <w:top w:w="80" w:type="dxa"/>
              <w:start w:w="120" w:type="dxa"/>
              <w:bottom w:w="80" w:type="dxa"/>
              <w:end w:w="120" w:type="dxa"/>
            </w:tcMar>
          </w:tcPr>
          <w:p>
            <w:pPr>
              <w:spacing w:after="40" w:line="252" w:lineRule="auto"/>
            </w:pPr>
            <w:r>
              <w:rPr>
                <w:sz w:val="18"/>
              </w:rPr>
              <w:t>Añadir campos calculados según guía</w:t>
            </w:r>
          </w:p>
        </w:tc>
        <w:tc>
          <w:tcPr>
            <w:tcW w:type="dxa" w:w="3660"/>
            <w:vAlign w:val="top"/>
            <w:tcMar>
              <w:top w:w="80" w:type="dxa"/>
              <w:start w:w="120" w:type="dxa"/>
              <w:bottom w:w="80" w:type="dxa"/>
              <w:end w:w="120" w:type="dxa"/>
            </w:tcMar>
          </w:tcPr>
          <w:p>
            <w:pPr>
              <w:spacing w:after="40" w:line="252" w:lineRule="auto"/>
            </w:pPr>
            <w:r>
              <w:rPr>
                <w:sz w:val="18"/>
              </w:rPr>
              <w:t xml:space="preserve">Devuelve </w:t>
            </w:r>
            <w:r>
              <w:rPr>
                <w:rFonts w:ascii="Consolas" w:hAnsi="Consolas" w:eastAsia="Consolas"/>
                <w:color w:val="1F4D78"/>
                <w:sz w:val="18"/>
                <w:shd w:fill="F2F5F8"/>
              </w:rPr>
              <w:t>IRestauracionDatasetInforme</w:t>
            </w:r>
            <w:r>
              <w:rPr>
                <w:sz w:val="18"/>
              </w:rPr>
              <w:t xml:space="preserve"> para deshacer siempre</w:t>
            </w:r>
          </w:p>
        </w:tc>
      </w:tr>
      <w:tr>
        <w:tc>
          <w:tcPr>
            <w:tcW w:type="dxa" w:w="22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IRestauracionDatasetInforme</w:t>
            </w:r>
          </w:p>
        </w:tc>
        <w:tc>
          <w:tcPr>
            <w:tcW w:type="dxa" w:w="3500"/>
            <w:vAlign w:val="top"/>
            <w:tcMar>
              <w:top w:w="80" w:type="dxa"/>
              <w:start w:w="120" w:type="dxa"/>
              <w:bottom w:w="80" w:type="dxa"/>
              <w:end w:w="120" w:type="dxa"/>
            </w:tcMar>
          </w:tcPr>
          <w:p>
            <w:pPr>
              <w:spacing w:after="40" w:line="252" w:lineRule="auto"/>
            </w:pPr>
            <w:r>
              <w:rPr>
                <w:sz w:val="18"/>
              </w:rPr>
              <w:t>Restaurar el dataset tras el informe</w:t>
            </w:r>
          </w:p>
        </w:tc>
        <w:tc>
          <w:tcPr>
            <w:tcW w:type="dxa" w:w="3660"/>
            <w:vAlign w:val="top"/>
            <w:tcMar>
              <w:top w:w="80" w:type="dxa"/>
              <w:start w:w="120" w:type="dxa"/>
              <w:bottom w:w="80" w:type="dxa"/>
              <w:end w:w="120" w:type="dxa"/>
            </w:tcMar>
          </w:tcPr>
          <w:p>
            <w:pPr>
              <w:spacing w:after="40" w:line="252" w:lineRule="auto"/>
            </w:pPr>
            <w:r>
              <w:rPr>
                <w:sz w:val="18"/>
              </w:rPr>
              <w:t>Se conserva hasta finalizar o fallar la impresión</w:t>
            </w:r>
          </w:p>
        </w:tc>
      </w:tr>
    </w:tbl>
    <w:p>
      <w:pPr>
        <w:spacing w:after="0"/>
      </w:pPr>
    </w:p>
    <w:p>
      <w:r>
        <w:t xml:space="preserve">La restauración es parte del contrato: si FastReport falla, se cancela o se previsualiza varias veces, el dataset debe volver a su estructura anterior. El repositorio de formatos trabaja con </w:t>
      </w:r>
      <w:r>
        <w:rPr>
          <w:rFonts w:ascii="Consolas" w:hAnsi="Consolas" w:eastAsia="Consolas"/>
          <w:color w:val="1F4D78"/>
          <w:sz w:val="18"/>
          <w:shd w:fill="F2F5F8"/>
        </w:rPr>
        <w:t>TStream</w:t>
      </w:r>
      <w:r>
        <w:t xml:space="preserve"> para que la capa de aplicación no dependa de archivos temporales ni blobs concretos.</w:t>
      </w:r>
    </w:p>
    <w:p>
      <w:r>
        <w:t>Facturae solo se genera para facturas normales consolidadas y con datos administrativos válidos. El adaptador carga el certificado por empresa, datasets de cabecera/líneas y persiste el XML resultante. La firma XAdES pertenece a un adaptador Windows; el repositorio no firma.</w:t>
      </w:r>
    </w:p>
    <w:p>
      <w:bookmarkStart w:id="38" w:name="h_029"/>
      <w:pPr>
        <w:pStyle w:val="Heading3"/>
      </w:pPr>
      <w:r>
        <w:t>5.7 Interfaces de rejilla, SKU y auditoría</w:t>
      </w:r>
      <w:bookmarkEnd w:id="38"/>
    </w:p>
    <w:p>
      <w:r>
        <w:t>Las pantallas documentales con líneas variables usan contratos de entrada y datos SKU para no incrustar la lógica en DevExpress:</w:t>
      </w:r>
    </w:p>
    <w:p>
      <w:pPr>
        <w:pStyle w:val="ListBullet"/>
        <w:numPr>
          <w:ilvl w:val="0"/>
          <w:numId w:val="15"/>
        </w:numPr>
      </w:pPr>
      <w:r>
        <w:rPr>
          <w:rFonts w:ascii="Consolas" w:hAnsi="Consolas" w:eastAsia="Consolas"/>
          <w:color w:val="1F4D78"/>
          <w:sz w:val="18"/>
          <w:shd w:fill="F2F5F8"/>
        </w:rPr>
        <w:t>IModoEntradaGrid</w:t>
      </w:r>
      <w:r>
        <w:t xml:space="preserve"> representa el modo de captura y su transición; la vista traduce el modo a columnas y foco.</w:t>
      </w:r>
    </w:p>
    <w:p>
      <w:pPr>
        <w:pStyle w:val="ListBullet"/>
        <w:numPr>
          <w:ilvl w:val="0"/>
          <w:numId w:val="15"/>
        </w:numPr>
      </w:pPr>
      <w:r>
        <w:rPr>
          <w:rFonts w:ascii="Consolas" w:hAnsi="Consolas" w:eastAsia="Consolas"/>
          <w:color w:val="1F4D78"/>
          <w:sz w:val="18"/>
          <w:shd w:fill="F2F5F8"/>
        </w:rPr>
        <w:t>IProveedorValoresSku</w:t>
      </w:r>
      <w:r>
        <w:t xml:space="preserve"> entrega combinaciones, atributos y códigos aplicables a la línea; no actualiza stock ni precios por efecto lateral.</w:t>
      </w:r>
    </w:p>
    <w:p>
      <w:pPr>
        <w:pStyle w:val="ListBullet"/>
        <w:numPr>
          <w:ilvl w:val="0"/>
          <w:numId w:val="15"/>
        </w:numPr>
      </w:pPr>
      <w:r>
        <w:rPr>
          <w:rFonts w:ascii="Consolas" w:hAnsi="Consolas" w:eastAsia="Consolas"/>
          <w:color w:val="1F4D78"/>
          <w:sz w:val="18"/>
          <w:shd w:fill="F2F5F8"/>
        </w:rPr>
        <w:t>IServicioAuditoriaDatos</w:t>
      </w:r>
      <w:r>
        <w:t xml:space="preserve"> registra cambios relevantes con usuario, instante, entidad y claves, sin depender del evento VCL que originó la modificación.</w:t>
      </w:r>
    </w:p>
    <w:p>
      <w:r>
        <w:t xml:space="preserve">Estos contratos afectan especialmente a pedidos, albaranes, facturas y devoluciones de compra donde </w:t>
      </w:r>
      <w:r>
        <w:rPr>
          <w:rFonts w:ascii="Consolas" w:hAnsi="Consolas" w:eastAsia="Consolas"/>
          <w:color w:val="1F4D78"/>
          <w:sz w:val="18"/>
          <w:shd w:fill="F2F5F8"/>
        </w:rPr>
        <w:t>ColumnSKUcxGrid</w:t>
      </w:r>
      <w:r>
        <w:t xml:space="preserve"> sustituyó el pivote híbrido. Las sesiones de compras quedan fuera por decisión expresa: su modelo de matriz/materialización tiene otro ciclo. Antes de reutilizar un proveedor SKU, se verifica el propietario de cada dataset y si la pantalla trabaja con línea persistida o borrador temporal.</w:t>
      </w:r>
    </w:p>
    <w:p>
      <w:r>
        <w:rPr>
          <w:rFonts w:ascii="Consolas" w:hAnsi="Consolas" w:eastAsia="Consolas"/>
          <w:color w:val="1F4D78"/>
          <w:sz w:val="18"/>
          <w:shd w:fill="F2F5F8"/>
        </w:rPr>
        <w:t>IModoEntradaGrid</w:t>
      </w:r>
      <w:r>
        <w:t xml:space="preserve"> es una interfaz viva de </w:t>
      </w:r>
      <w:r>
        <w:rPr>
          <w:rFonts w:ascii="Consolas" w:hAnsi="Consolas" w:eastAsia="Consolas"/>
          <w:color w:val="1F4D78"/>
          <w:sz w:val="18"/>
          <w:shd w:fill="F2F5F8"/>
        </w:rPr>
        <w:t>inLibColumnasSkuIntf</w:t>
      </w:r>
      <w:r>
        <w:t xml:space="preserve">, no un nombre conceptual. Sus implementaciones actuales cubren desglose, SKU, tallas y el pivote de venta. </w:t>
      </w:r>
      <w:r>
        <w:rPr>
          <w:rFonts w:ascii="Consolas" w:hAnsi="Consolas" w:eastAsia="Consolas"/>
          <w:color w:val="1F4D78"/>
          <w:sz w:val="18"/>
          <w:shd w:fill="F2F5F8"/>
        </w:rPr>
        <w:t>Construir</w:t>
      </w:r>
      <w:r>
        <w:t xml:space="preserve"> puede destruir y recrear columnas, por lo que el adaptador debe volver a enlazar eventos, foco y estado de edición. </w:t>
      </w:r>
      <w:r>
        <w:rPr>
          <w:rFonts w:ascii="Consolas" w:hAnsi="Consolas" w:eastAsia="Consolas"/>
          <w:color w:val="1F4D78"/>
          <w:sz w:val="18"/>
          <w:shd w:fill="F2F5F8"/>
        </w:rPr>
        <w:t>IProveedorValoresSku</w:t>
      </w:r>
      <w:r>
        <w:t xml:space="preserve"> es de solo lectura; la mutación de líneas sigue en la operación documental. La validación fiscal viva de facturas con ColumnSKU continúa pendiente y se etiqueta </w:t>
      </w:r>
      <w:r>
        <w:rPr>
          <w:b/>
        </w:rPr>
        <w:t>IMPLEMENTADO-PENDIENTE-VALIDAR</w:t>
      </w:r>
      <w:r>
        <w:t>.</w:t>
      </w:r>
    </w:p>
    <w:p>
      <w:bookmarkStart w:id="39" w:name="h_030"/>
      <w:pPr>
        <w:pStyle w:val="Heading3"/>
      </w:pPr>
      <w:r>
        <w:t>5.8 Compras: recepción y materialización</w:t>
      </w:r>
      <w:bookmarkEnd w:id="39"/>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1700"/>
        <w:gridCol w:w="2600"/>
        <w:gridCol w:w="2400"/>
        <w:gridCol w:w="2660"/>
      </w:tblGrid>
      <w:tr>
        <w:trPr>
          <w:tblHeader w:val="true"/>
        </w:trPr>
        <w:tc>
          <w:tcPr>
            <w:tcW w:type="dxa" w:w="1700"/>
            <w:vAlign w:val="top"/>
            <w:shd w:fill="E8EEF5"/>
            <w:tcMar>
              <w:top w:w="80" w:type="dxa"/>
              <w:start w:w="120" w:type="dxa"/>
              <w:bottom w:w="80" w:type="dxa"/>
              <w:end w:w="120" w:type="dxa"/>
            </w:tcMar>
          </w:tcPr>
          <w:p>
            <w:pPr>
              <w:spacing w:after="40" w:line="252" w:lineRule="auto"/>
            </w:pPr>
            <w:r>
              <w:rPr>
                <w:b/>
                <w:color w:val="1F4D78"/>
                <w:sz w:val="18"/>
              </w:rPr>
              <w:t>Contrato vivo</w:t>
            </w:r>
          </w:p>
        </w:tc>
        <w:tc>
          <w:tcPr>
            <w:tcW w:type="dxa" w:w="2600"/>
            <w:vAlign w:val="top"/>
            <w:shd w:fill="E8EEF5"/>
            <w:tcMar>
              <w:top w:w="80" w:type="dxa"/>
              <w:start w:w="120" w:type="dxa"/>
              <w:bottom w:w="80" w:type="dxa"/>
              <w:end w:w="120" w:type="dxa"/>
            </w:tcMar>
          </w:tcPr>
          <w:p>
            <w:pPr>
              <w:spacing w:after="40" w:line="252" w:lineRule="auto"/>
            </w:pPr>
            <w:r>
              <w:rPr>
                <w:b/>
                <w:color w:val="1F4D78"/>
                <w:sz w:val="18"/>
              </w:rPr>
              <w:t>Implementación/consumo</w:t>
            </w:r>
          </w:p>
        </w:tc>
        <w:tc>
          <w:tcPr>
            <w:tcW w:type="dxa" w:w="2400"/>
            <w:vAlign w:val="top"/>
            <w:shd w:fill="E8EEF5"/>
            <w:tcMar>
              <w:top w:w="80" w:type="dxa"/>
              <w:start w:w="120" w:type="dxa"/>
              <w:bottom w:w="80" w:type="dxa"/>
              <w:end w:w="120" w:type="dxa"/>
            </w:tcMar>
          </w:tcPr>
          <w:p>
            <w:pPr>
              <w:spacing w:after="40" w:line="252" w:lineRule="auto"/>
            </w:pPr>
            <w:r>
              <w:rPr>
                <w:b/>
                <w:color w:val="1F4D78"/>
                <w:sz w:val="18"/>
              </w:rPr>
              <w:t>Qué garantiza</w:t>
            </w:r>
          </w:p>
        </w:tc>
        <w:tc>
          <w:tcPr>
            <w:tcW w:type="dxa" w:w="2660"/>
            <w:vAlign w:val="top"/>
            <w:shd w:fill="E8EEF5"/>
            <w:tcMar>
              <w:top w:w="80" w:type="dxa"/>
              <w:start w:w="120" w:type="dxa"/>
              <w:bottom w:w="80" w:type="dxa"/>
              <w:end w:w="120" w:type="dxa"/>
            </w:tcMar>
          </w:tcPr>
          <w:p>
            <w:pPr>
              <w:spacing w:after="40" w:line="252" w:lineRule="auto"/>
            </w:pPr>
            <w:r>
              <w:rPr>
                <w:b/>
                <w:color w:val="1F4D78"/>
                <w:sz w:val="18"/>
              </w:rPr>
              <w:t>Estado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IRecepcionPedidoCompra</w:t>
            </w:r>
          </w:p>
        </w:tc>
        <w:tc>
          <w:tcPr>
            <w:tcW w:type="dxa" w:w="2600"/>
            <w:vAlign w:val="top"/>
            <w:tcMar>
              <w:top w:w="80" w:type="dxa"/>
              <w:start w:w="120" w:type="dxa"/>
              <w:bottom w:w="80" w:type="dxa"/>
              <w:end w:w="120" w:type="dxa"/>
            </w:tcMar>
          </w:tcPr>
          <w:p>
            <w:pPr>
              <w:spacing w:after="40" w:line="252" w:lineRule="auto"/>
            </w:pPr>
            <w:r>
              <w:rPr>
                <w:sz w:val="18"/>
              </w:rPr>
              <w:t>Adaptador UniDAC y presentación de pedidos</w:t>
            </w:r>
          </w:p>
        </w:tc>
        <w:tc>
          <w:tcPr>
            <w:tcW w:type="dxa" w:w="2400"/>
            <w:vAlign w:val="top"/>
            <w:tcMar>
              <w:top w:w="80" w:type="dxa"/>
              <w:start w:w="120" w:type="dxa"/>
              <w:bottom w:w="80" w:type="dxa"/>
              <w:end w:w="120" w:type="dxa"/>
            </w:tcMar>
          </w:tcPr>
          <w:p>
            <w:pPr>
              <w:spacing w:after="40" w:line="252" w:lineRule="auto"/>
            </w:pPr>
            <w:r>
              <w:rPr>
                <w:sz w:val="18"/>
              </w:rPr>
              <w:t>Recibe cantidades y actualiza pendientes/estado de forma atómica</w:t>
            </w:r>
          </w:p>
        </w:tc>
        <w:tc>
          <w:tcPr>
            <w:tcW w:type="dxa" w:w="2660"/>
            <w:vAlign w:val="top"/>
            <w:tcMar>
              <w:top w:w="80" w:type="dxa"/>
              <w:start w:w="120" w:type="dxa"/>
              <w:bottom w:w="80" w:type="dxa"/>
              <w:end w:w="120" w:type="dxa"/>
            </w:tcMar>
          </w:tcPr>
          <w:p>
            <w:pPr>
              <w:spacing w:after="40" w:line="252" w:lineRule="auto"/>
            </w:pPr>
            <w:r>
              <w:rPr>
                <w:sz w:val="18"/>
              </w:rPr>
              <w:t>IMPLEMENTADO; datos 38/38, UI a validar</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IPedidosCompraPendientes</w:t>
            </w:r>
          </w:p>
        </w:tc>
        <w:tc>
          <w:tcPr>
            <w:tcW w:type="dxa" w:w="2600"/>
            <w:vAlign w:val="top"/>
            <w:tcMar>
              <w:top w:w="80" w:type="dxa"/>
              <w:start w:w="120" w:type="dxa"/>
              <w:bottom w:w="80" w:type="dxa"/>
              <w:end w:w="120" w:type="dxa"/>
            </w:tcMar>
          </w:tcPr>
          <w:p>
            <w:pPr>
              <w:spacing w:after="40" w:line="252" w:lineRule="auto"/>
            </w:pPr>
            <w:r>
              <w:rPr>
                <w:sz w:val="18"/>
              </w:rPr>
              <w:t>Módulo de pedido y presentadores</w:t>
            </w:r>
          </w:p>
        </w:tc>
        <w:tc>
          <w:tcPr>
            <w:tcW w:type="dxa" w:w="2400"/>
            <w:vAlign w:val="top"/>
            <w:tcMar>
              <w:top w:w="80" w:type="dxa"/>
              <w:start w:w="120" w:type="dxa"/>
              <w:bottom w:w="80" w:type="dxa"/>
              <w:end w:w="120" w:type="dxa"/>
            </w:tcMar>
          </w:tcPr>
          <w:p>
            <w:pPr>
              <w:spacing w:after="40" w:line="252" w:lineRule="auto"/>
            </w:pPr>
            <w:r>
              <w:rPr>
                <w:sz w:val="18"/>
              </w:rPr>
              <w:t>Lee y sincroniza cantidades pendientes sin asumir la operación completa</w:t>
            </w:r>
          </w:p>
        </w:tc>
        <w:tc>
          <w:tcPr>
            <w:tcW w:type="dxa" w:w="2660"/>
            <w:vAlign w:val="top"/>
            <w:tcMar>
              <w:top w:w="80" w:type="dxa"/>
              <w:start w:w="120" w:type="dxa"/>
              <w:bottom w:w="80" w:type="dxa"/>
              <w:end w:w="120" w:type="dxa"/>
            </w:tcMar>
          </w:tcPr>
          <w:p>
            <w:pPr>
              <w:spacing w:after="40" w:line="252" w:lineRule="auto"/>
            </w:pPr>
            <w:r>
              <w:rPr>
                <w:sz w:val="18"/>
              </w:rPr>
              <w:t>IMPLEMENTADO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ICreacionAlbaranPedidoCompra</w:t>
            </w:r>
          </w:p>
        </w:tc>
        <w:tc>
          <w:tcPr>
            <w:tcW w:type="dxa" w:w="2600"/>
            <w:vAlign w:val="top"/>
            <w:tcMar>
              <w:top w:w="80" w:type="dxa"/>
              <w:start w:w="120" w:type="dxa"/>
              <w:bottom w:w="80" w:type="dxa"/>
              <w:end w:w="120" w:type="dxa"/>
            </w:tcMar>
          </w:tcPr>
          <w:p>
            <w:pPr>
              <w:spacing w:after="40" w:line="252" w:lineRule="auto"/>
            </w:pPr>
            <w:r>
              <w:rPr>
                <w:sz w:val="18"/>
              </w:rPr>
              <w:t>Operación UniDAC consumida por pedidos</w:t>
            </w:r>
          </w:p>
        </w:tc>
        <w:tc>
          <w:tcPr>
            <w:tcW w:type="dxa" w:w="2400"/>
            <w:vAlign w:val="top"/>
            <w:tcMar>
              <w:top w:w="80" w:type="dxa"/>
              <w:start w:w="120" w:type="dxa"/>
              <w:bottom w:w="80" w:type="dxa"/>
              <w:end w:w="120" w:type="dxa"/>
            </w:tcMar>
          </w:tcPr>
          <w:p>
            <w:pPr>
              <w:spacing w:after="40" w:line="252" w:lineRule="auto"/>
            </w:pPr>
            <w:r>
              <w:rPr>
                <w:sz w:val="18"/>
              </w:rPr>
              <w:t>Crea cabecera, líneas, movimientos y relación con el pedido</w:t>
            </w:r>
          </w:p>
        </w:tc>
        <w:tc>
          <w:tcPr>
            <w:tcW w:type="dxa" w:w="2660"/>
            <w:vAlign w:val="top"/>
            <w:tcMar>
              <w:top w:w="80" w:type="dxa"/>
              <w:start w:w="120" w:type="dxa"/>
              <w:bottom w:w="80" w:type="dxa"/>
              <w:end w:w="120" w:type="dxa"/>
            </w:tcMar>
          </w:tcPr>
          <w:p>
            <w:pPr>
              <w:spacing w:after="40" w:line="252" w:lineRule="auto"/>
            </w:pPr>
            <w:r>
              <w:rPr>
                <w:sz w:val="18"/>
              </w:rPr>
              <w:t>IMPLEMENTADO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IIncorporacionAlbaranPedidoCompra</w:t>
            </w:r>
          </w:p>
        </w:tc>
        <w:tc>
          <w:tcPr>
            <w:tcW w:type="dxa" w:w="2600"/>
            <w:vAlign w:val="top"/>
            <w:tcMar>
              <w:top w:w="80" w:type="dxa"/>
              <w:start w:w="120" w:type="dxa"/>
              <w:bottom w:w="80" w:type="dxa"/>
              <w:end w:w="120" w:type="dxa"/>
            </w:tcMar>
          </w:tcPr>
          <w:p>
            <w:pPr>
              <w:spacing w:after="40" w:line="252" w:lineRule="auto"/>
            </w:pPr>
            <w:r>
              <w:rPr>
                <w:sz w:val="18"/>
              </w:rPr>
              <w:t>Operación UniDAC y presentador</w:t>
            </w:r>
          </w:p>
        </w:tc>
        <w:tc>
          <w:tcPr>
            <w:tcW w:type="dxa" w:w="2400"/>
            <w:vAlign w:val="top"/>
            <w:tcMar>
              <w:top w:w="80" w:type="dxa"/>
              <w:start w:w="120" w:type="dxa"/>
              <w:bottom w:w="80" w:type="dxa"/>
              <w:end w:w="120" w:type="dxa"/>
            </w:tcMar>
          </w:tcPr>
          <w:p>
            <w:pPr>
              <w:spacing w:after="40" w:line="252" w:lineRule="auto"/>
            </w:pPr>
            <w:r>
              <w:rPr>
                <w:sz w:val="18"/>
              </w:rPr>
              <w:t>Incorpora a un albarán compatible sin duplicar stock</w:t>
            </w:r>
          </w:p>
        </w:tc>
        <w:tc>
          <w:tcPr>
            <w:tcW w:type="dxa" w:w="2660"/>
            <w:vAlign w:val="top"/>
            <w:tcMar>
              <w:top w:w="80" w:type="dxa"/>
              <w:start w:w="120" w:type="dxa"/>
              <w:bottom w:w="80" w:type="dxa"/>
              <w:end w:w="120" w:type="dxa"/>
            </w:tcMar>
          </w:tcPr>
          <w:p>
            <w:pPr>
              <w:spacing w:after="40" w:line="252" w:lineRule="auto"/>
            </w:pPr>
            <w:r>
              <w:rPr>
                <w:sz w:val="18"/>
              </w:rPr>
              <w:t>IMPLEMENTADO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IUnidadTrabajoMaterializacion</w:t>
            </w:r>
          </w:p>
        </w:tc>
        <w:tc>
          <w:tcPr>
            <w:tcW w:type="dxa" w:w="26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TUnidadTrabajoMaterializacionUniDAC</w:t>
            </w:r>
          </w:p>
        </w:tc>
        <w:tc>
          <w:tcPr>
            <w:tcW w:type="dxa" w:w="2400"/>
            <w:vAlign w:val="top"/>
            <w:tcMar>
              <w:top w:w="80" w:type="dxa"/>
              <w:start w:w="120" w:type="dxa"/>
              <w:bottom w:w="80" w:type="dxa"/>
              <w:end w:w="120" w:type="dxa"/>
            </w:tcMar>
          </w:tcPr>
          <w:p>
            <w:pPr>
              <w:spacing w:after="40" w:line="252" w:lineRule="auto"/>
            </w:pPr>
            <w:r>
              <w:rPr>
                <w:sz w:val="18"/>
              </w:rPr>
              <w:t>Iniciar, confirmar o revertir toda la sesión</w:t>
            </w:r>
          </w:p>
        </w:tc>
        <w:tc>
          <w:tcPr>
            <w:tcW w:type="dxa" w:w="2660"/>
            <w:vAlign w:val="top"/>
            <w:tcMar>
              <w:top w:w="80" w:type="dxa"/>
              <w:start w:w="120" w:type="dxa"/>
              <w:bottom w:w="80" w:type="dxa"/>
              <w:end w:w="120" w:type="dxa"/>
            </w:tcMar>
          </w:tcPr>
          <w:p>
            <w:pPr>
              <w:spacing w:after="40" w:line="252" w:lineRule="auto"/>
            </w:pPr>
            <w:r>
              <w:rPr>
                <w:sz w:val="18"/>
              </w:rPr>
              <w:t>IMPLEMENTADO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IPersistenciaMaterializacionComprasSesiones</w:t>
            </w:r>
          </w:p>
        </w:tc>
        <w:tc>
          <w:tcPr>
            <w:tcW w:type="dxa" w:w="2600"/>
            <w:vAlign w:val="top"/>
            <w:tcMar>
              <w:top w:w="80" w:type="dxa"/>
              <w:start w:w="120" w:type="dxa"/>
              <w:bottom w:w="80" w:type="dxa"/>
              <w:end w:w="120" w:type="dxa"/>
            </w:tcMar>
          </w:tcPr>
          <w:p>
            <w:pPr>
              <w:spacing w:after="40" w:line="252" w:lineRule="auto"/>
            </w:pPr>
            <w:r>
              <w:rPr>
                <w:sz w:val="18"/>
              </w:rPr>
              <w:t>Repositorio/adaptador de sesión</w:t>
            </w:r>
          </w:p>
        </w:tc>
        <w:tc>
          <w:tcPr>
            <w:tcW w:type="dxa" w:w="2400"/>
            <w:vAlign w:val="top"/>
            <w:tcMar>
              <w:top w:w="80" w:type="dxa"/>
              <w:start w:w="120" w:type="dxa"/>
              <w:bottom w:w="80" w:type="dxa"/>
              <w:end w:w="120" w:type="dxa"/>
            </w:tcMar>
          </w:tcPr>
          <w:p>
            <w:pPr>
              <w:spacing w:after="40" w:line="252" w:lineRule="auto"/>
            </w:pPr>
            <w:r>
              <w:rPr>
                <w:sz w:val="18"/>
              </w:rPr>
              <w:t>Escribe maestros y documentos mediante DTO</w:t>
            </w:r>
          </w:p>
        </w:tc>
        <w:tc>
          <w:tcPr>
            <w:tcW w:type="dxa" w:w="2660"/>
            <w:vAlign w:val="top"/>
            <w:tcMar>
              <w:top w:w="80" w:type="dxa"/>
              <w:start w:w="120" w:type="dxa"/>
              <w:bottom w:w="80" w:type="dxa"/>
              <w:end w:w="120" w:type="dxa"/>
            </w:tcMar>
          </w:tcPr>
          <w:p>
            <w:pPr>
              <w:spacing w:after="40" w:line="252" w:lineRule="auto"/>
            </w:pPr>
            <w:r>
              <w:rPr>
                <w:sz w:val="18"/>
              </w:rPr>
              <w:t>IMPLEMENTADO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IPersistenciaReversionComprasSesiones</w:t>
            </w:r>
          </w:p>
        </w:tc>
        <w:tc>
          <w:tcPr>
            <w:tcW w:type="dxa" w:w="2600"/>
            <w:vAlign w:val="top"/>
            <w:tcMar>
              <w:top w:w="80" w:type="dxa"/>
              <w:start w:w="120" w:type="dxa"/>
              <w:bottom w:w="80" w:type="dxa"/>
              <w:end w:w="120" w:type="dxa"/>
            </w:tcMar>
          </w:tcPr>
          <w:p>
            <w:pPr>
              <w:spacing w:after="40" w:line="252" w:lineRule="auto"/>
            </w:pPr>
            <w:r>
              <w:rPr>
                <w:sz w:val="18"/>
              </w:rPr>
              <w:t>Revertidor de sesión</w:t>
            </w:r>
          </w:p>
        </w:tc>
        <w:tc>
          <w:tcPr>
            <w:tcW w:type="dxa" w:w="2400"/>
            <w:vAlign w:val="top"/>
            <w:tcMar>
              <w:top w:w="80" w:type="dxa"/>
              <w:start w:w="120" w:type="dxa"/>
              <w:bottom w:w="80" w:type="dxa"/>
              <w:end w:w="120" w:type="dxa"/>
            </w:tcMar>
          </w:tcPr>
          <w:p>
            <w:pPr>
              <w:spacing w:after="40" w:line="252" w:lineRule="auto"/>
            </w:pPr>
            <w:r>
              <w:rPr>
                <w:sz w:val="18"/>
              </w:rPr>
              <w:t>Deshace materialización conforme al estado</w:t>
            </w:r>
          </w:p>
        </w:tc>
        <w:tc>
          <w:tcPr>
            <w:tcW w:type="dxa" w:w="2660"/>
            <w:vAlign w:val="top"/>
            <w:tcMar>
              <w:top w:w="80" w:type="dxa"/>
              <w:start w:w="120" w:type="dxa"/>
              <w:bottom w:w="80" w:type="dxa"/>
              <w:end w:w="120" w:type="dxa"/>
            </w:tcMar>
          </w:tcPr>
          <w:p>
            <w:pPr>
              <w:spacing w:after="40" w:line="252" w:lineRule="auto"/>
            </w:pPr>
            <w:r>
              <w:rPr>
                <w:sz w:val="18"/>
              </w:rPr>
              <w:t>IMPLEMENTADO</w:t>
            </w:r>
          </w:p>
        </w:tc>
      </w:tr>
      <w:tr>
        <w:tc>
          <w:tcPr>
            <w:tcW w:type="dxa" w:w="17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ILecturasMaterializacionComprasSesiones</w:t>
            </w:r>
          </w:p>
        </w:tc>
        <w:tc>
          <w:tcPr>
            <w:tcW w:type="dxa" w:w="2600"/>
            <w:vAlign w:val="top"/>
            <w:tcMar>
              <w:top w:w="80" w:type="dxa"/>
              <w:start w:w="120" w:type="dxa"/>
              <w:bottom w:w="80" w:type="dxa"/>
              <w:end w:w="120" w:type="dxa"/>
            </w:tcMar>
          </w:tcPr>
          <w:p>
            <w:pPr>
              <w:spacing w:after="40" w:line="252" w:lineRule="auto"/>
            </w:pPr>
            <w:r>
              <w:rPr>
                <w:sz w:val="18"/>
              </w:rPr>
              <w:t>Puerto de consultas</w:t>
            </w:r>
          </w:p>
        </w:tc>
        <w:tc>
          <w:tcPr>
            <w:tcW w:type="dxa" w:w="2400"/>
            <w:vAlign w:val="top"/>
            <w:tcMar>
              <w:top w:w="80" w:type="dxa"/>
              <w:start w:w="120" w:type="dxa"/>
              <w:bottom w:w="80" w:type="dxa"/>
              <w:end w:w="120" w:type="dxa"/>
            </w:tcMar>
          </w:tcPr>
          <w:p>
            <w:pPr>
              <w:spacing w:after="40" w:line="252" w:lineRule="auto"/>
            </w:pPr>
            <w:r>
              <w:rPr>
                <w:sz w:val="18"/>
              </w:rPr>
              <w:t>Separa decisiones/lecturas de las escrituras</w:t>
            </w:r>
          </w:p>
        </w:tc>
        <w:tc>
          <w:tcPr>
            <w:tcW w:type="dxa" w:w="2660"/>
            <w:vAlign w:val="top"/>
            <w:tcMar>
              <w:top w:w="80" w:type="dxa"/>
              <w:start w:w="120" w:type="dxa"/>
              <w:bottom w:w="80" w:type="dxa"/>
              <w:end w:w="120" w:type="dxa"/>
            </w:tcMar>
          </w:tcPr>
          <w:p>
            <w:pPr>
              <w:spacing w:after="40" w:line="252" w:lineRule="auto"/>
            </w:pPr>
            <w:r>
              <w:rPr>
                <w:sz w:val="18"/>
              </w:rPr>
              <w:t>IMPLEMENTADO</w:t>
            </w:r>
          </w:p>
        </w:tc>
      </w:tr>
    </w:tbl>
    <w:p>
      <w:pPr>
        <w:spacing w:after="0"/>
      </w:pPr>
    </w:p>
    <w:p>
      <w:r>
        <w:t xml:space="preserve">La interfaz grande </w:t>
      </w:r>
      <w:r>
        <w:rPr>
          <w:rFonts w:ascii="Consolas" w:hAnsi="Consolas" w:eastAsia="Consolas"/>
          <w:color w:val="1F4D78"/>
          <w:sz w:val="18"/>
          <w:shd w:fill="F2F5F8"/>
        </w:rPr>
        <w:t>IPedidosCompra</w:t>
      </w:r>
      <w:r>
        <w:t xml:space="preserve"> coexiste durante la transición. No se le añaden capacidades nuevas si ya existe un puerto específico. La UoW de materialización debe englobar artículo, SKU, EAN, proveedor, tarifa y documentos; el kit y el contador de familia conservan riesgos documentados que exigen fallo inyectado y prueba de rollback.</w:t>
      </w:r>
    </w:p>
    <w:p>
      <w:r>
        <w:t xml:space="preserve">Los movimientos de albarán también tienen fronteras explícitas. En compra, </w:t>
      </w:r>
      <w:r>
        <w:rPr>
          <w:rFonts w:ascii="Consolas" w:hAnsi="Consolas" w:eastAsia="Consolas"/>
          <w:color w:val="1F4D78"/>
          <w:sz w:val="18"/>
          <w:shd w:fill="F2F5F8"/>
        </w:rPr>
        <w:t>IMovimientosAlbaranCompra</w:t>
      </w:r>
      <w:r>
        <w:t xml:space="preserve"> se inyecta; la antigua fábrica registrada mediante </w:t>
      </w:r>
      <w:r>
        <w:rPr>
          <w:rFonts w:ascii="Consolas" w:hAnsi="Consolas" w:eastAsia="Consolas"/>
          <w:color w:val="1F4D78"/>
          <w:sz w:val="18"/>
          <w:shd w:fill="F2F5F8"/>
        </w:rPr>
        <w:t>initialization</w:t>
      </w:r>
      <w:r>
        <w:t xml:space="preserve"> ya no es el patrón vigente. En venta, </w:t>
      </w:r>
      <w:r>
        <w:rPr>
          <w:rFonts w:ascii="Consolas" w:hAnsi="Consolas" w:eastAsia="Consolas"/>
          <w:color w:val="1F4D78"/>
          <w:sz w:val="18"/>
          <w:shd w:fill="F2F5F8"/>
        </w:rPr>
        <w:t>IPersistenciaMovimientosAlbaranVenta</w:t>
      </w:r>
      <w:r>
        <w:t xml:space="preserve">, </w:t>
      </w:r>
      <w:r>
        <w:rPr>
          <w:rFonts w:ascii="Consolas" w:hAnsi="Consolas" w:eastAsia="Consolas"/>
          <w:color w:val="1F4D78"/>
          <w:sz w:val="18"/>
          <w:shd w:fill="F2F5F8"/>
        </w:rPr>
        <w:t>IUnidadTrabajoMovimientosAlbaranVenta</w:t>
      </w:r>
      <w:r>
        <w:t xml:space="preserve"> e </w:t>
      </w:r>
      <w:r>
        <w:rPr>
          <w:rFonts w:ascii="Consolas" w:hAnsi="Consolas" w:eastAsia="Consolas"/>
          <w:color w:val="1F4D78"/>
          <w:sz w:val="18"/>
          <w:shd w:fill="F2F5F8"/>
        </w:rPr>
        <w:t>IOperacionMovimientosAlbaranVenta</w:t>
      </w:r>
      <w:r>
        <w:t xml:space="preserve"> separan SQL, propiedad transaccional y caso de uso. La operación respeta una transacción exterior y prueba commit/rollback.</w:t>
      </w:r>
    </w:p>
    <w:p>
      <w:bookmarkStart w:id="40" w:name="h_031"/>
      <w:pPr>
        <w:pStyle w:val="Heading3"/>
      </w:pPr>
      <w:r>
        <w:t>5.9 Cierre de venta y tickets</w:t>
      </w:r>
      <w:bookmarkEnd w:id="40"/>
    </w:p>
    <w:p>
      <w:r>
        <w:rPr>
          <w:rFonts w:ascii="Consolas" w:hAnsi="Consolas" w:eastAsia="Consolas"/>
          <w:color w:val="1F4D78"/>
          <w:sz w:val="18"/>
          <w:shd w:fill="F2F5F8"/>
        </w:rPr>
        <w:t>ICasoUsoCierreVentaCaja</w:t>
      </w:r>
      <w:r>
        <w:t xml:space="preserve"> coordina el cierre completo. Recibe </w:t>
      </w:r>
      <w:r>
        <w:rPr>
          <w:rFonts w:ascii="Consolas" w:hAnsi="Consolas" w:eastAsia="Consolas"/>
          <w:color w:val="1F4D78"/>
          <w:sz w:val="18"/>
          <w:shd w:fill="F2F5F8"/>
        </w:rPr>
        <w:t>IUnidadTrabajoVentaCaja</w:t>
      </w:r>
      <w:r>
        <w:t xml:space="preserve"> para persistir factura simplificada, líneas, movimientos, operación, pagos, vales y depósitos; después coordina fiscalidad e </w:t>
      </w:r>
      <w:r>
        <w:rPr>
          <w:rFonts w:ascii="Consolas" w:hAnsi="Consolas" w:eastAsia="Consolas"/>
          <w:color w:val="1F4D78"/>
          <w:sz w:val="18"/>
          <w:shd w:fill="F2F5F8"/>
        </w:rPr>
        <w:t>IImpresorVenta</w:t>
      </w:r>
      <w:r>
        <w:t>. La implementación VCL de impresión no debe volver ambiguo el commit: una venta confirmada no se revierte porque falle el papel o el archivado PDF. El resultado registra la incidencia y ofrece reimpresión.</w:t>
      </w:r>
    </w:p>
    <w:p>
      <w:r>
        <w:rPr>
          <w:rFonts w:ascii="Consolas" w:hAnsi="Consolas" w:eastAsia="Consolas"/>
          <w:color w:val="1F4D78"/>
          <w:sz w:val="18"/>
          <w:shd w:fill="F2F5F8"/>
        </w:rPr>
        <w:t>ILecturasImpresionTicket</w:t>
      </w:r>
      <w:r>
        <w:t xml:space="preserve"> entrega pie, diminutivo de vendedor y código de barras. Los repositorios </w:t>
      </w:r>
      <w:r>
        <w:rPr>
          <w:rFonts w:ascii="Consolas" w:hAnsi="Consolas" w:eastAsia="Consolas"/>
          <w:color w:val="1F4D78"/>
          <w:sz w:val="18"/>
          <w:shd w:fill="F2F5F8"/>
        </w:rPr>
        <w:t>IRepositorioTicketsVentaCaja</w:t>
      </w:r>
      <w:r>
        <w:t xml:space="preserve">, </w:t>
      </w:r>
      <w:r>
        <w:rPr>
          <w:rFonts w:ascii="Consolas" w:hAnsi="Consolas" w:eastAsia="Consolas"/>
          <w:color w:val="1F4D78"/>
          <w:sz w:val="18"/>
          <w:shd w:fill="F2F5F8"/>
        </w:rPr>
        <w:t>IRepositorioResguardosCaja</w:t>
      </w:r>
      <w:r>
        <w:t xml:space="preserve"> e </w:t>
      </w:r>
      <w:r>
        <w:rPr>
          <w:rFonts w:ascii="Consolas" w:hAnsi="Consolas" w:eastAsia="Consolas"/>
          <w:color w:val="1F4D78"/>
          <w:sz w:val="18"/>
          <w:shd w:fill="F2F5F8"/>
        </w:rPr>
        <w:t>IRepositorioRecordatoriosCaja</w:t>
      </w:r>
      <w:r>
        <w:t xml:space="preserve"> separan modelos de lectura para ticket vivo, resguardo y recordatorio. La columna EAN puede no existir en instalaciones antiguas; el adaptador debe degradar de forma controlada y las reimpresiones históricas requieren comprobación.</w:t>
      </w:r>
    </w:p>
    <w:p>
      <w:bookmarkStart w:id="41" w:name="h_032"/>
      <w:pPr>
        <w:pStyle w:val="Heading3"/>
      </w:pPr>
      <w:r>
        <w:t>5.10 Hoja de cálculo, traducciones y auditoría</w:t>
      </w:r>
      <w:bookmarkEnd w:id="41"/>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2200"/>
        <w:gridCol w:w="3500"/>
        <w:gridCol w:w="3660"/>
      </w:tblGrid>
      <w:tr>
        <w:trPr>
          <w:tblHeader w:val="true"/>
        </w:trPr>
        <w:tc>
          <w:tcPr>
            <w:tcW w:type="dxa" w:w="2200"/>
            <w:vAlign w:val="top"/>
            <w:shd w:fill="E8EEF5"/>
            <w:tcMar>
              <w:top w:w="80" w:type="dxa"/>
              <w:start w:w="120" w:type="dxa"/>
              <w:bottom w:w="80" w:type="dxa"/>
              <w:end w:w="120" w:type="dxa"/>
            </w:tcMar>
          </w:tcPr>
          <w:p>
            <w:pPr>
              <w:spacing w:after="40" w:line="252" w:lineRule="auto"/>
            </w:pPr>
            <w:r>
              <w:rPr>
                <w:b/>
                <w:color w:val="1F4D78"/>
                <w:sz w:val="18"/>
              </w:rPr>
              <w:t>Familia</w:t>
            </w:r>
          </w:p>
        </w:tc>
        <w:tc>
          <w:tcPr>
            <w:tcW w:type="dxa" w:w="3500"/>
            <w:vAlign w:val="top"/>
            <w:shd w:fill="E8EEF5"/>
            <w:tcMar>
              <w:top w:w="80" w:type="dxa"/>
              <w:start w:w="120" w:type="dxa"/>
              <w:bottom w:w="80" w:type="dxa"/>
              <w:end w:w="120" w:type="dxa"/>
            </w:tcMar>
          </w:tcPr>
          <w:p>
            <w:pPr>
              <w:spacing w:after="40" w:line="252" w:lineRule="auto"/>
            </w:pPr>
            <w:r>
              <w:rPr>
                <w:b/>
                <w:color w:val="1F4D78"/>
                <w:sz w:val="18"/>
              </w:rPr>
              <w:t>Interfaces</w:t>
            </w:r>
          </w:p>
        </w:tc>
        <w:tc>
          <w:tcPr>
            <w:tcW w:type="dxa" w:w="3660"/>
            <w:vAlign w:val="top"/>
            <w:shd w:fill="E8EEF5"/>
            <w:tcMar>
              <w:top w:w="80" w:type="dxa"/>
              <w:start w:w="120" w:type="dxa"/>
              <w:bottom w:w="80" w:type="dxa"/>
              <w:end w:w="120" w:type="dxa"/>
            </w:tcMar>
          </w:tcPr>
          <w:p>
            <w:pPr>
              <w:spacing w:after="40" w:line="252" w:lineRule="auto"/>
            </w:pPr>
            <w:r>
              <w:rPr>
                <w:b/>
                <w:color w:val="1F4D78"/>
                <w:sz w:val="18"/>
              </w:rPr>
              <w:t>Regla</w:t>
            </w:r>
          </w:p>
        </w:tc>
      </w:tr>
      <w:tr>
        <w:tc>
          <w:tcPr>
            <w:tcW w:type="dxa" w:w="2200"/>
            <w:vAlign w:val="top"/>
            <w:tcMar>
              <w:top w:w="80" w:type="dxa"/>
              <w:start w:w="120" w:type="dxa"/>
              <w:bottom w:w="80" w:type="dxa"/>
              <w:end w:w="120" w:type="dxa"/>
            </w:tcMar>
          </w:tcPr>
          <w:p>
            <w:pPr>
              <w:spacing w:after="40" w:line="252" w:lineRule="auto"/>
            </w:pPr>
            <w:r>
              <w:rPr>
                <w:sz w:val="18"/>
              </w:rPr>
              <w:t>Hoja de cálculo</w:t>
            </w:r>
          </w:p>
        </w:tc>
        <w:tc>
          <w:tcPr>
            <w:tcW w:type="dxa" w:w="35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IEscritorHojaCalculo</w:t>
            </w:r>
            <w:r>
              <w:rPr>
                <w:sz w:val="18"/>
              </w:rPr>
              <w:t xml:space="preserve">, </w:t>
            </w:r>
            <w:r>
              <w:rPr>
                <w:rFonts w:ascii="Consolas" w:hAnsi="Consolas" w:eastAsia="Consolas"/>
                <w:color w:val="1F4D78"/>
                <w:sz w:val="18"/>
                <w:shd w:fill="F2F5F8"/>
              </w:rPr>
              <w:t>IFormateadorHojaCalculo</w:t>
            </w:r>
            <w:r>
              <w:rPr>
                <w:sz w:val="18"/>
              </w:rPr>
              <w:t xml:space="preserve">, </w:t>
            </w:r>
            <w:r>
              <w:rPr>
                <w:rFonts w:ascii="Consolas" w:hAnsi="Consolas" w:eastAsia="Consolas"/>
                <w:color w:val="1F4D78"/>
                <w:sz w:val="18"/>
                <w:shd w:fill="F2F5F8"/>
              </w:rPr>
              <w:t>IGuardadorHojaCalculo</w:t>
            </w:r>
            <w:r>
              <w:rPr>
                <w:sz w:val="18"/>
              </w:rPr>
              <w:t xml:space="preserve">, </w:t>
            </w:r>
            <w:r>
              <w:rPr>
                <w:rFonts w:ascii="Consolas" w:hAnsi="Consolas" w:eastAsia="Consolas"/>
                <w:color w:val="1F4D78"/>
                <w:sz w:val="18"/>
                <w:shd w:fill="F2F5F8"/>
              </w:rPr>
              <w:t>ILectorHojaCalculo</w:t>
            </w:r>
          </w:p>
        </w:tc>
        <w:tc>
          <w:tcPr>
            <w:tcW w:type="dxa" w:w="3660"/>
            <w:vAlign w:val="top"/>
            <w:tcMar>
              <w:top w:w="80" w:type="dxa"/>
              <w:start w:w="120" w:type="dxa"/>
              <w:bottom w:w="80" w:type="dxa"/>
              <w:end w:w="120" w:type="dxa"/>
            </w:tcMar>
          </w:tcPr>
          <w:p>
            <w:pPr>
              <w:spacing w:after="40" w:line="252" w:lineRule="auto"/>
            </w:pPr>
            <w:r>
              <w:rPr>
                <w:sz w:val="18"/>
              </w:rPr>
              <w:t>El dominio no depende de DevExpress; el adaptador real se prueba una vez y el resto con fakes/snapshots</w:t>
            </w:r>
          </w:p>
        </w:tc>
      </w:tr>
      <w:tr>
        <w:tc>
          <w:tcPr>
            <w:tcW w:type="dxa" w:w="2200"/>
            <w:vAlign w:val="top"/>
            <w:tcMar>
              <w:top w:w="80" w:type="dxa"/>
              <w:start w:w="120" w:type="dxa"/>
              <w:bottom w:w="80" w:type="dxa"/>
              <w:end w:w="120" w:type="dxa"/>
            </w:tcMar>
          </w:tcPr>
          <w:p>
            <w:pPr>
              <w:spacing w:after="40" w:line="252" w:lineRule="auto"/>
            </w:pPr>
            <w:r>
              <w:rPr>
                <w:sz w:val="18"/>
              </w:rPr>
              <w:t>Traducciones</w:t>
            </w:r>
          </w:p>
        </w:tc>
        <w:tc>
          <w:tcPr>
            <w:tcW w:type="dxa" w:w="35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IServicioTraducciones</w:t>
            </w:r>
            <w:r>
              <w:rPr>
                <w:sz w:val="18"/>
              </w:rPr>
              <w:t xml:space="preserve">, </w:t>
            </w:r>
            <w:r>
              <w:rPr>
                <w:rFonts w:ascii="Consolas" w:hAnsi="Consolas" w:eastAsia="Consolas"/>
                <w:color w:val="1F4D78"/>
                <w:sz w:val="18"/>
                <w:shd w:fill="F2F5F8"/>
              </w:rPr>
              <w:t>IProveedorTraducciones</w:t>
            </w:r>
          </w:p>
        </w:tc>
        <w:tc>
          <w:tcPr>
            <w:tcW w:type="dxa" w:w="3660"/>
            <w:vAlign w:val="top"/>
            <w:tcMar>
              <w:top w:w="80" w:type="dxa"/>
              <w:start w:w="120" w:type="dxa"/>
              <w:bottom w:w="80" w:type="dxa"/>
              <w:end w:w="120" w:type="dxa"/>
            </w:tcMar>
          </w:tcPr>
          <w:p>
            <w:pPr>
              <w:spacing w:after="40" w:line="252" w:lineRule="auto"/>
            </w:pPr>
            <w:r>
              <w:rPr>
                <w:sz w:val="18"/>
              </w:rPr>
              <w:t>Clave estable, fallback español y aplicación a VCL/FastReport sin contaminar el BLOB editado</w:t>
            </w:r>
          </w:p>
        </w:tc>
      </w:tr>
      <w:tr>
        <w:tc>
          <w:tcPr>
            <w:tcW w:type="dxa" w:w="2200"/>
            <w:vAlign w:val="top"/>
            <w:tcMar>
              <w:top w:w="80" w:type="dxa"/>
              <w:start w:w="120" w:type="dxa"/>
              <w:bottom w:w="80" w:type="dxa"/>
              <w:end w:w="120" w:type="dxa"/>
            </w:tcMar>
          </w:tcPr>
          <w:p>
            <w:pPr>
              <w:spacing w:after="40" w:line="252" w:lineRule="auto"/>
            </w:pPr>
            <w:r>
              <w:rPr>
                <w:sz w:val="18"/>
              </w:rPr>
              <w:t>Auditoría</w:t>
            </w:r>
          </w:p>
        </w:tc>
        <w:tc>
          <w:tcPr>
            <w:tcW w:type="dxa" w:w="35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IServicioAuditoriaDatos</w:t>
            </w:r>
          </w:p>
        </w:tc>
        <w:tc>
          <w:tcPr>
            <w:tcW w:type="dxa" w:w="3660"/>
            <w:vAlign w:val="top"/>
            <w:tcMar>
              <w:top w:w="80" w:type="dxa"/>
              <w:start w:w="120" w:type="dxa"/>
              <w:bottom w:w="80" w:type="dxa"/>
              <w:end w:w="120" w:type="dxa"/>
            </w:tcMar>
          </w:tcPr>
          <w:p>
            <w:pPr>
              <w:spacing w:after="40" w:line="252" w:lineRule="auto"/>
            </w:pPr>
            <w:r>
              <w:rPr>
                <w:sz w:val="18"/>
              </w:rPr>
              <w:t>Registra entidad, claves, usuario e instante desde la operación, sin depender del nombre de un control</w:t>
            </w:r>
          </w:p>
        </w:tc>
      </w:tr>
      <w:tr>
        <w:tc>
          <w:tcPr>
            <w:tcW w:type="dxa" w:w="2200"/>
            <w:vAlign w:val="top"/>
            <w:tcMar>
              <w:top w:w="80" w:type="dxa"/>
              <w:start w:w="120" w:type="dxa"/>
              <w:bottom w:w="80" w:type="dxa"/>
              <w:end w:w="120" w:type="dxa"/>
            </w:tcMar>
          </w:tcPr>
          <w:p>
            <w:pPr>
              <w:spacing w:after="40" w:line="252" w:lineRule="auto"/>
            </w:pPr>
            <w:r>
              <w:rPr>
                <w:sz w:val="18"/>
              </w:rPr>
              <w:t>Informe de factura</w:t>
            </w:r>
          </w:p>
        </w:tc>
        <w:tc>
          <w:tcPr>
            <w:tcW w:type="dxa" w:w="3500"/>
            <w:vAlign w:val="top"/>
            <w:tcMar>
              <w:top w:w="80" w:type="dxa"/>
              <w:start w:w="120" w:type="dxa"/>
              <w:bottom w:w="80" w:type="dxa"/>
              <w:end w:w="120" w:type="dxa"/>
            </w:tcMar>
          </w:tcPr>
          <w:p>
            <w:pPr>
              <w:spacing w:after="40" w:line="252" w:lineRule="auto"/>
            </w:pPr>
            <w:r>
              <w:rPr>
                <w:rFonts w:ascii="Consolas" w:hAnsi="Consolas" w:eastAsia="Consolas"/>
                <w:color w:val="1F4D78"/>
                <w:sz w:val="18"/>
                <w:shd w:fill="F2F5F8"/>
              </w:rPr>
              <w:t>IPreparadorInformeFactura</w:t>
            </w:r>
          </w:p>
        </w:tc>
        <w:tc>
          <w:tcPr>
            <w:tcW w:type="dxa" w:w="3660"/>
            <w:vAlign w:val="top"/>
            <w:tcMar>
              <w:top w:w="80" w:type="dxa"/>
              <w:start w:w="120" w:type="dxa"/>
              <w:bottom w:w="80" w:type="dxa"/>
              <w:end w:w="120" w:type="dxa"/>
            </w:tcMar>
          </w:tcPr>
          <w:p>
            <w:pPr>
              <w:spacing w:after="40" w:line="252" w:lineRule="auto"/>
            </w:pPr>
            <w:r>
              <w:rPr>
                <w:sz w:val="18"/>
              </w:rPr>
              <w:t>Prepara el read model con criterios tipados; un rango no se archiva como PDF de una factura individual</w:t>
            </w:r>
          </w:p>
        </w:tc>
      </w:tr>
    </w:tbl>
    <w:p>
      <w:pPr>
        <w:spacing w:after="0"/>
      </w:pPr>
    </w:p>
    <w:p>
      <w:r>
        <w:t xml:space="preserve">Estas interfaces están presentes en el árbol actual. La revisión visual de traducciones y algunos adaptadores reales sigue pendiente; </w:t>
      </w:r>
      <w:r>
        <w:rPr>
          <w:b/>
        </w:rPr>
        <w:t>implementado</w:t>
      </w:r>
      <w:r>
        <w:t xml:space="preserve"> no significa </w:t>
      </w:r>
      <w:r>
        <w:rPr>
          <w:b/>
        </w:rPr>
        <w:t>validado funcionalmente</w:t>
      </w:r>
      <w:r>
        <w:t>.</w:t>
      </w:r>
    </w:p>
    <w:p>
      <w:bookmarkStart w:id="42" w:name="h_033"/>
      <w:pPr>
        <w:pStyle w:val="Heading3"/>
      </w:pPr>
      <w:r>
        <w:t>5.11 Contratos propuestos para PDF en lote</w:t>
      </w:r>
      <w:bookmarkEnd w:id="42"/>
    </w:p>
    <w:p>
      <w:r>
        <w:t xml:space="preserve">El diseño </w:t>
      </w:r>
      <w:r>
        <w:rPr>
          <w:rFonts w:ascii="Consolas" w:hAnsi="Consolas" w:eastAsia="Consolas"/>
          <w:color w:val="1F4D78"/>
          <w:sz w:val="18"/>
          <w:shd w:fill="F2F5F8"/>
        </w:rPr>
        <w:t>DISENO_PDF_FACTURAS_LOTE.md</w:t>
      </w:r>
      <w:r>
        <w:t xml:space="preserve">, fechado el 23 de agosto de 2026, propone </w:t>
      </w:r>
      <w:r>
        <w:rPr>
          <w:rFonts w:ascii="Consolas" w:hAnsi="Consolas" w:eastAsia="Consolas"/>
          <w:color w:val="1F4D78"/>
          <w:sz w:val="18"/>
          <w:shd w:fill="F2F5F8"/>
        </w:rPr>
        <w:t>inLibLotePdfFacturasIntf.pas</w:t>
      </w:r>
      <w:r>
        <w:t xml:space="preserve"> para criterios, progreso, resultado y cancelación. </w:t>
      </w:r>
      <w:r>
        <w:rPr>
          <w:b/>
        </w:rPr>
        <w:t>No se considera implementado</w:t>
      </w:r>
      <w:r>
        <w:t xml:space="preserve"> por aparecer en el diseño. La primera versión prevista crea un proceso </w:t>
      </w:r>
      <w:r>
        <w:rPr>
          <w:rFonts w:ascii="Consolas" w:hAnsi="Consolas" w:eastAsia="Consolas"/>
          <w:color w:val="1F4D78"/>
          <w:sz w:val="18"/>
          <w:shd w:fill="F2F5F8"/>
        </w:rPr>
        <w:t>fzam.exe /imprimirfacturas</w:t>
      </w:r>
      <w:r>
        <w:t xml:space="preserve"> con sesión y conexión propias; usa archivo de respuesta al superar límites de línea, progreso JSON, cancelación entre facturas y publicación atómica mediante </w:t>
      </w:r>
      <w:r>
        <w:rPr>
          <w:rFonts w:ascii="Consolas" w:hAnsi="Consolas" w:eastAsia="Consolas"/>
          <w:color w:val="1F4D78"/>
          <w:sz w:val="18"/>
          <w:shd w:fill="F2F5F8"/>
        </w:rPr>
        <w:t>.part</w:t>
      </w:r>
      <w:r>
        <w:t>.</w:t>
      </w:r>
    </w:p>
    <w:p>
      <w:r>
        <w:t>El contrato futuro debe separar al menos:</w:t>
      </w:r>
    </w:p>
    <w:p>
      <w:pPr>
        <w:pStyle w:val="ListBullet"/>
        <w:numPr>
          <w:ilvl w:val="0"/>
          <w:numId w:val="16"/>
        </w:numPr>
      </w:pPr>
      <w:r>
        <w:t>selección autorizada de referencias por fecha/serie/tipo;</w:t>
      </w:r>
    </w:p>
    <w:p>
      <w:pPr>
        <w:pStyle w:val="ListBullet"/>
        <w:numPr>
          <w:ilvl w:val="0"/>
          <w:numId w:val="16"/>
        </w:numPr>
      </w:pPr>
      <w:r>
        <w:t>ejecución del lote y protocolo de progreso;</w:t>
      </w:r>
    </w:p>
    <w:p>
      <w:pPr>
        <w:pStyle w:val="ListBullet"/>
        <w:numPr>
          <w:ilvl w:val="0"/>
          <w:numId w:val="16"/>
        </w:numPr>
      </w:pPr>
      <w:r>
        <w:t>exportación de una factura a un archivo temporal;</w:t>
      </w:r>
    </w:p>
    <w:p>
      <w:pPr>
        <w:pStyle w:val="ListBullet"/>
        <w:numPr>
          <w:ilvl w:val="0"/>
          <w:numId w:val="16"/>
        </w:numPr>
      </w:pPr>
      <w:r>
        <w:t>publicación atómica y política de nombres;</w:t>
      </w:r>
    </w:p>
    <w:p>
      <w:pPr>
        <w:pStyle w:val="ListBullet"/>
        <w:numPr>
          <w:ilvl w:val="0"/>
          <w:numId w:val="16"/>
        </w:numPr>
      </w:pPr>
      <w:r>
        <w:t>cancelación cooperativa y resumen de errores.</w:t>
      </w:r>
    </w:p>
    <w:p>
      <w:r>
        <w:t>La UI no pasa componentes ni credenciales al trabajador. VeriFactu ONLINE impide exportar facturas no consolidadas. Los permisos se vuelven a comprobar inmediatamente antes de cada exportación. Reutilizar una instancia abierta requeriría IPC autenticado para el SID y PID; nunca se elige una instancia al azar.</w:t>
      </w:r>
    </w:p>
    <w:p>
      <w:bookmarkStart w:id="43" w:name="h_034"/>
      <w:pPr>
        <w:pStyle w:val="Heading3"/>
      </w:pPr>
      <w:r>
        <w:t>5.12 Nombres candidatos que no son API</w:t>
      </w:r>
      <w:bookmarkEnd w:id="43"/>
    </w:p>
    <w:p>
      <w:r>
        <w:t xml:space="preserve">Planes antiguos mencionan </w:t>
      </w:r>
      <w:r>
        <w:rPr>
          <w:rFonts w:ascii="Consolas" w:hAnsi="Consolas" w:eastAsia="Consolas"/>
          <w:color w:val="1F4D78"/>
          <w:sz w:val="18"/>
          <w:shd w:fill="F2F5F8"/>
        </w:rPr>
        <w:t>IRepositorioDocumentosCompra</w:t>
      </w:r>
      <w:r>
        <w:t xml:space="preserve">, </w:t>
      </w:r>
      <w:r>
        <w:rPr>
          <w:rFonts w:ascii="Consolas" w:hAnsi="Consolas" w:eastAsia="Consolas"/>
          <w:color w:val="1F4D78"/>
          <w:sz w:val="18"/>
          <w:shd w:fill="F2F5F8"/>
        </w:rPr>
        <w:t>IRepositorioMovimientosCompra</w:t>
      </w:r>
      <w:r>
        <w:t xml:space="preserve">, </w:t>
      </w:r>
      <w:r>
        <w:rPr>
          <w:rFonts w:ascii="Consolas" w:hAnsi="Consolas" w:eastAsia="Consolas"/>
          <w:color w:val="1F4D78"/>
          <w:sz w:val="18"/>
          <w:shd w:fill="F2F5F8"/>
        </w:rPr>
        <w:t>IRepositorioDocumentosFiscales</w:t>
      </w:r>
      <w:r>
        <w:t xml:space="preserve">, </w:t>
      </w:r>
      <w:r>
        <w:rPr>
          <w:rFonts w:ascii="Consolas" w:hAnsi="Consolas" w:eastAsia="Consolas"/>
          <w:color w:val="1F4D78"/>
          <w:sz w:val="18"/>
          <w:shd w:fill="F2F5F8"/>
        </w:rPr>
        <w:t>IRepositorioVerifactuExportacion</w:t>
      </w:r>
      <w:r>
        <w:t xml:space="preserve"> y otros nombres candidatos. No son una API por aparecer en una tabla de diseño. El árbol actual materializó puertos más pequeños con nombres como </w:t>
      </w:r>
      <w:r>
        <w:rPr>
          <w:rFonts w:ascii="Consolas" w:hAnsi="Consolas" w:eastAsia="Consolas"/>
          <w:color w:val="1F4D78"/>
          <w:sz w:val="18"/>
          <w:shd w:fill="F2F5F8"/>
        </w:rPr>
        <w:t>IRecepcionPedidoCompra</w:t>
      </w:r>
      <w:r>
        <w:t xml:space="preserve">, </w:t>
      </w:r>
      <w:r>
        <w:rPr>
          <w:rFonts w:ascii="Consolas" w:hAnsi="Consolas" w:eastAsia="Consolas"/>
          <w:color w:val="1F4D78"/>
          <w:sz w:val="18"/>
          <w:shd w:fill="F2F5F8"/>
        </w:rPr>
        <w:t>IServicioEmisionFiscal</w:t>
      </w:r>
      <w:r>
        <w:t xml:space="preserve">, </w:t>
      </w:r>
      <w:r>
        <w:rPr>
          <w:rFonts w:ascii="Consolas" w:hAnsi="Consolas" w:eastAsia="Consolas"/>
          <w:color w:val="1F4D78"/>
          <w:sz w:val="18"/>
          <w:shd w:fill="F2F5F8"/>
        </w:rPr>
        <w:t>IServicioVerifactuCola</w:t>
      </w:r>
      <w:r>
        <w:t xml:space="preserve">, </w:t>
      </w:r>
      <w:r>
        <w:rPr>
          <w:rFonts w:ascii="Consolas" w:hAnsi="Consolas" w:eastAsia="Consolas"/>
          <w:color w:val="1F4D78"/>
          <w:sz w:val="18"/>
          <w:shd w:fill="F2F5F8"/>
        </w:rPr>
        <w:t>IRepositorioFacturae</w:t>
      </w:r>
      <w:r>
        <w:t xml:space="preserve"> e </w:t>
      </w:r>
      <w:r>
        <w:rPr>
          <w:rFonts w:ascii="Consolas" w:hAnsi="Consolas" w:eastAsia="Consolas"/>
          <w:color w:val="1F4D78"/>
          <w:sz w:val="18"/>
          <w:shd w:fill="F2F5F8"/>
        </w:rPr>
        <w:t>IRepositorioPdfFactura</w:t>
      </w:r>
      <w:r>
        <w:t>.</w:t>
      </w:r>
    </w:p>
    <w:p>
      <w:r>
        <w:t xml:space="preserve">También quedaron atrás </w:t>
      </w:r>
      <w:r>
        <w:rPr>
          <w:rFonts w:ascii="Consolas" w:hAnsi="Consolas" w:eastAsia="Consolas"/>
          <w:color w:val="1F4D78"/>
          <w:sz w:val="18"/>
          <w:shd w:fill="F2F5F8"/>
        </w:rPr>
        <w:t>IDataModuleDocumento</w:t>
      </w:r>
      <w:r>
        <w:t xml:space="preserve">, sustituido por </w:t>
      </w:r>
      <w:r>
        <w:rPr>
          <w:rFonts w:ascii="Consolas" w:hAnsi="Consolas" w:eastAsia="Consolas"/>
          <w:color w:val="1F4D78"/>
          <w:sz w:val="18"/>
          <w:shd w:fill="F2F5F8"/>
        </w:rPr>
        <w:t>IAnfitrionDatosDocumento</w:t>
      </w:r>
      <w:r>
        <w:t>, y patrones de fábrica global/</w:t>
      </w:r>
      <w:r>
        <w:rPr>
          <w:rFonts w:ascii="Consolas" w:hAnsi="Consolas" w:eastAsia="Consolas"/>
          <w:color w:val="1F4D78"/>
          <w:sz w:val="18"/>
          <w:shd w:fill="F2F5F8"/>
        </w:rPr>
        <w:t>initialization</w:t>
      </w:r>
      <w:r>
        <w:t xml:space="preserve"> para movimientos de albarán de compra, sustituidos por inyección explícita. Al mantener código legacy se migra hacia el contrato vivo; no se recupera el nombre histórico.</w:t>
      </w:r>
    </w:p>
    <w:p>
      <w:bookmarkStart w:id="44" w:name="h_035"/>
      <w:pPr>
        <w:pStyle w:val="Heading3"/>
      </w:pPr>
      <w:r>
        <w:t>5.13 Cómo añadir o cambiar un contrato documental</w:t>
      </w:r>
      <w:bookmarkEnd w:id="44"/>
    </w:p>
    <w:p>
      <w:pPr>
        <w:pStyle w:val="ListNumber"/>
        <w:numPr>
          <w:ilvl w:val="0"/>
          <w:numId w:val="17"/>
        </w:numPr>
      </w:pPr>
      <w:r>
        <w:t>Nombrar la capacidad con vocabulario de negocio y enumerar sus consumidores.</w:t>
      </w:r>
    </w:p>
    <w:p>
      <w:pPr>
        <w:pStyle w:val="ListNumber"/>
        <w:numPr>
          <w:ilvl w:val="0"/>
          <w:numId w:val="17"/>
        </w:numPr>
      </w:pPr>
      <w:r>
        <w:t>Definir DTO de entrada y resultado sin VCL, UniDAC ni componentes visuales.</w:t>
      </w:r>
    </w:p>
    <w:p>
      <w:pPr>
        <w:pStyle w:val="ListNumber"/>
        <w:numPr>
          <w:ilvl w:val="0"/>
          <w:numId w:val="17"/>
        </w:numPr>
      </w:pPr>
      <w:r>
        <w:t>Declarar propiedad y ciclo de vida de interfaces, datasets, streams y callbacks.</w:t>
      </w:r>
    </w:p>
    <w:p>
      <w:pPr>
        <w:pStyle w:val="ListNumber"/>
        <w:numPr>
          <w:ilvl w:val="0"/>
          <w:numId w:val="17"/>
        </w:numPr>
      </w:pPr>
      <w:r>
        <w:t>Decidir límites transaccionales e idempotencia antes de implementar SQL.</w:t>
      </w:r>
    </w:p>
    <w:p>
      <w:pPr>
        <w:pStyle w:val="ListNumber"/>
        <w:numPr>
          <w:ilvl w:val="0"/>
          <w:numId w:val="17"/>
        </w:numPr>
      </w:pPr>
      <w:r>
        <w:t>Crear adaptador concreto y conectarlo en composición; evitar localizadores globales.</w:t>
      </w:r>
    </w:p>
    <w:p>
      <w:pPr>
        <w:pStyle w:val="ListNumber"/>
        <w:numPr>
          <w:ilvl w:val="0"/>
          <w:numId w:val="17"/>
        </w:numPr>
      </w:pPr>
      <w:r>
        <w:t>Añadir pruebas del caso de uso, del adaptador y del flujo completo afectado.</w:t>
      </w:r>
    </w:p>
    <w:p>
      <w:pPr>
        <w:pStyle w:val="ListNumber"/>
        <w:numPr>
          <w:ilvl w:val="0"/>
          <w:numId w:val="17"/>
        </w:numPr>
      </w:pPr>
      <w:r>
        <w:t>Ejecutar ISP, capas, SQL de dominio, transacciones, estilo y pruebas DUnitX.</w:t>
      </w:r>
    </w:p>
    <w:p>
      <w:pPr>
        <w:pStyle w:val="ListNumber"/>
        <w:numPr>
          <w:ilvl w:val="0"/>
          <w:numId w:val="17"/>
        </w:numPr>
      </w:pPr>
      <w:r>
        <w:t>Actualizar este capítulo y la matriz de trazabilidad con estado y revisión.</w:t>
      </w:r>
    </w:p>
    <w:tbl>
      <w:tblPr>
        <w:tblW w:type="dxa" w:w="9360"/>
        <w:jc w:val="left"/>
        <w:tblLayout w:type="fixed"/>
        <w:tblLook w:firstColumn="1" w:firstRow="1" w:lastColumn="0" w:lastRow="0" w:noHBand="0" w:noVBand="1" w:val="04A0"/>
        <w:tblInd w:w="120" w:type="dxa"/>
        <w:tblBorders>
          <w:top w:val="single" w:sz="6" w:color="FFF4CE"/>
          <w:start w:val="single" w:sz="6" w:color="FFF4CE"/>
          <w:bottom w:val="single" w:sz="6" w:color="FFF4CE"/>
          <w:end w:val="single" w:sz="6" w:color="FFF4CE"/>
          <w:insideH w:val="single" w:sz="6" w:color="FFF4CE"/>
          <w:insideV w:val="single" w:sz="6" w:color="FFF4CE"/>
        </w:tblBorders>
      </w:tblPr>
      <w:tblGrid>
        <w:gridCol w:w="9360"/>
      </w:tblGrid>
      <w:tr>
        <w:trPr>
          <w:tblHeader w:val="true"/>
        </w:trPr>
        <w:tc>
          <w:tcPr>
            <w:tcW w:type="dxa" w:w="9360"/>
            <w:shd w:fill="FFF4CE"/>
            <w:tcMar>
              <w:top w:w="80" w:type="dxa"/>
              <w:start w:w="120" w:type="dxa"/>
              <w:bottom w:w="80" w:type="dxa"/>
              <w:end w:w="120" w:type="dxa"/>
            </w:tcMar>
          </w:tcPr>
          <w:p>
            <w:pPr>
              <w:spacing w:after="0"/>
            </w:pPr>
            <w:r>
              <w:rPr>
                <w:b/>
                <w:color w:val="1F4D78"/>
              </w:rPr>
              <w:t xml:space="preserve">ATENCIÓN. </w:t>
            </w:r>
            <w:r>
              <w:t xml:space="preserve">Una interfaz con nombre nuevo no demuestra una arquitectura desacoplada. Si expone un formulario, un </w:t>
            </w:r>
            <w:r>
              <w:rPr>
                <w:rFonts w:ascii="Consolas" w:hAnsi="Consolas" w:eastAsia="Consolas"/>
                <w:color w:val="1F4D78"/>
                <w:sz w:val="18"/>
                <w:shd w:fill="F2F5F8"/>
              </w:rPr>
              <w:t>TUniQuery</w:t>
            </w:r>
            <w:r>
              <w:t xml:space="preserve"> o demasiadas operaciones no relacionadas, solo ha cambiado el lugar del acoplamiento.</w:t>
            </w:r>
          </w:p>
        </w:tc>
      </w:tr>
    </w:tbl>
    <w:p>
      <w:pPr>
        <w:spacing w:after="0"/>
      </w:pPr>
    </w:p>
    <w:p>
      <w:bookmarkStart w:id="45" w:name="h_036"/>
      <w:pPr>
        <w:pStyle w:val="Heading2"/>
      </w:pPr>
      <w:r>
        <w:t>6. Composición, ciclo de vida y trabajo en segundo plano</w:t>
      </w:r>
      <w:bookmarkEnd w:id="45"/>
    </w:p>
    <w:p>
      <w:bookmarkStart w:id="46" w:name="h_037"/>
      <w:pPr>
        <w:pStyle w:val="Heading3"/>
      </w:pPr>
      <w:r>
        <w:t>6.1 Propietarios explícitos</w:t>
      </w:r>
      <w:bookmarkEnd w:id="46"/>
    </w:p>
    <w:p>
      <w:r>
        <w:t xml:space="preserve">Cada objeto debe tener un propietario inequívoco. Un formulario puede poseer su presentador y composición; la composición puede poseer implementaciones concretas; una interfaz con conteo de referencias no se libera manualmente. Los datasets devueltos por puertos legacy siguen la convención documentada por cada interfaz. Los objetos temporales se liberan en </w:t>
      </w:r>
      <w:r>
        <w:rPr>
          <w:rFonts w:ascii="Consolas" w:hAnsi="Consolas" w:eastAsia="Consolas"/>
          <w:color w:val="1F4D78"/>
          <w:sz w:val="18"/>
          <w:shd w:fill="F2F5F8"/>
        </w:rPr>
        <w:t>try/finally</w:t>
      </w:r>
      <w:r>
        <w:t>.</w:t>
      </w:r>
    </w:p>
    <w:p>
      <w:r>
        <w:t>Los servicios de larga vida no conservan referencias a formularios destruidos. Los callbacks se desregistran en cierre. Un worker crea conexión y módulos propios dentro del hilo/proceso; no reutiliza la conexión visual ni componentes creados en el hilo principal.</w:t>
      </w:r>
    </w:p>
    <w:p>
      <w:bookmarkStart w:id="47" w:name="h_038"/>
      <w:pPr>
        <w:pStyle w:val="Heading3"/>
      </w:pPr>
      <w:r>
        <w:t>6.2 Transacciones</w:t>
      </w:r>
      <w:bookmarkEnd w:id="47"/>
    </w:p>
    <w:p>
      <w:r>
        <w:t xml:space="preserve">La unidad de trabajo abarca la invariante completa, no cada </w:t>
      </w:r>
      <w:r>
        <w:rPr>
          <w:rFonts w:ascii="Consolas" w:hAnsi="Consolas" w:eastAsia="Consolas"/>
          <w:color w:val="1F4D78"/>
          <w:sz w:val="18"/>
          <w:shd w:fill="F2F5F8"/>
        </w:rPr>
        <w:t>INSERT</w:t>
      </w:r>
      <w:r>
        <w:t>. El caso de uso inicia la operación mediante un puerto; el repositorio no confirma por sorpresa. Las validaciones que deben proteger contra concurrencia se repiten bajo bloqueo dentro de la transacción.</w:t>
      </w:r>
    </w:p>
    <w:p>
      <w:r>
        <w:t>Patrón conceptual:</w:t>
      </w:r>
    </w:p>
    <w:p>
      <w:pPr>
        <w:pStyle w:val="CodeBlock"/>
        <w:keepLines/>
        <w:shd w:fill="F2F5F8"/>
      </w:pPr>
      <w:r>
        <w:t>UnidadTrabajo.Ejecutar(</w:t>
        <w:br/>
        <w:t xml:space="preserve">  cargar y bloquear cabecera;</w:t>
        <w:br/>
        <w:t xml:space="preserve">  validar estado y permisos;</w:t>
        <w:br/>
        <w:t xml:space="preserve">  escribir cabecera, líneas y relaciones;</w:t>
        <w:br/>
        <w:t xml:space="preserve">  actualizar stock/efectos/cola;</w:t>
        <w:br/>
        <w:t xml:space="preserve">  registrar auditoría;</w:t>
        <w:br/>
        <w:t>)</w:t>
      </w:r>
    </w:p>
    <w:p>
      <w:r>
        <w:t>Una llamada externa no se mantiene dentro de una transacción de base de datos. Se persiste una intención/cola y un trabajador idempotente realiza HTTP, firma o exportación. La publicación de archivos se hace a temporal y se renombra al final.</w:t>
      </w:r>
    </w:p>
    <w:p>
      <w:bookmarkStart w:id="48" w:name="h_039"/>
      <w:pPr>
        <w:pStyle w:val="Heading3"/>
      </w:pPr>
      <w:r>
        <w:t>6.3 Errores y observabilidad</w:t>
      </w:r>
      <w:bookmarkEnd w:id="48"/>
    </w:p>
    <w:p>
      <w:r>
        <w:t xml:space="preserve">Los resultados previsibles se expresan con records tipados; las excepciones representan fallos técnicos o invariantes rotas. No se vacía un </w:t>
      </w:r>
      <w:r>
        <w:rPr>
          <w:rFonts w:ascii="Consolas" w:hAnsi="Consolas" w:eastAsia="Consolas"/>
          <w:color w:val="1F4D78"/>
          <w:sz w:val="18"/>
          <w:shd w:fill="F2F5F8"/>
        </w:rPr>
        <w:t>except</w:t>
      </w:r>
      <w:r>
        <w:t>: el comprobador actual todavía detecta seis bloques vacíos. Toda captura debe resolver, transformar o registrar y relanzar.</w:t>
      </w:r>
    </w:p>
    <w:p>
      <w:r>
        <w:t>Cada operación de fondo incluye identificador de correlación, entidad, clave, fase, intento, duración y resultado. No se registran credenciales ni el documento fiscal completo. Un error mostrado al usuario incluye acción posible; la traza conserva detalle técnico.</w:t>
      </w:r>
    </w:p>
    <w:p>
      <w:bookmarkStart w:id="49" w:name="h_040"/>
      <w:pPr>
        <w:pStyle w:val="Heading1"/>
        <w:pageBreakBefore/>
      </w:pPr>
      <w:r>
        <w:t>Parte III · Delphi, base de datos y entrega</w:t>
      </w:r>
      <w:bookmarkEnd w:id="49"/>
    </w:p>
    <w:p>
      <w:bookmarkStart w:id="50" w:name="h_041"/>
      <w:pPr>
        <w:pStyle w:val="Heading2"/>
      </w:pPr>
      <w:r>
        <w:t>7. Convenciones Delphi/VCL</w:t>
      </w:r>
      <w:bookmarkEnd w:id="50"/>
    </w:p>
    <w:p>
      <w:bookmarkStart w:id="51" w:name="h_042"/>
      <w:pPr>
        <w:pStyle w:val="Heading3"/>
      </w:pPr>
      <w:r>
        <w:t>7.1 Unidades y nombres</w:t>
      </w:r>
      <w:bookmarkEnd w:id="51"/>
    </w:p>
    <w:p>
      <w:r>
        <w:t xml:space="preserve">Las unidades mantienen la convención del proyecto: </w:t>
      </w:r>
      <w:r>
        <w:rPr>
          <w:rFonts w:ascii="Consolas" w:hAnsi="Consolas" w:eastAsia="Consolas"/>
          <w:color w:val="1F4D78"/>
          <w:sz w:val="18"/>
          <w:shd w:fill="F2F5F8"/>
        </w:rPr>
        <w:t>inMto*</w:t>
      </w:r>
      <w:r>
        <w:t xml:space="preserve"> para mantenimientos/formularios, </w:t>
      </w:r>
      <w:r>
        <w:rPr>
          <w:rFonts w:ascii="Consolas" w:hAnsi="Consolas" w:eastAsia="Consolas"/>
          <w:color w:val="1F4D78"/>
          <w:sz w:val="18"/>
          <w:shd w:fill="F2F5F8"/>
        </w:rPr>
        <w:t>UniData*</w:t>
      </w:r>
      <w:r>
        <w:t xml:space="preserve"> para módulos de datos y adaptadores, </w:t>
      </w:r>
      <w:r>
        <w:rPr>
          <w:rFonts w:ascii="Consolas" w:hAnsi="Consolas" w:eastAsia="Consolas"/>
          <w:color w:val="1F4D78"/>
          <w:sz w:val="18"/>
          <w:shd w:fill="F2F5F8"/>
        </w:rPr>
        <w:t>inLib*</w:t>
      </w:r>
      <w:r>
        <w:t xml:space="preserve"> para contratos y lógica compartida. Los nombres deben reflejar responsabilidad: </w:t>
      </w:r>
      <w:r>
        <w:rPr>
          <w:rFonts w:ascii="Consolas" w:hAnsi="Consolas" w:eastAsia="Consolas"/>
          <w:color w:val="1F4D78"/>
          <w:sz w:val="18"/>
          <w:shd w:fill="F2F5F8"/>
        </w:rPr>
        <w:t>...Intf</w:t>
      </w:r>
      <w:r>
        <w:t xml:space="preserve"> declara contratos, </w:t>
      </w:r>
      <w:r>
        <w:rPr>
          <w:rFonts w:ascii="Consolas" w:hAnsi="Consolas" w:eastAsia="Consolas"/>
          <w:color w:val="1F4D78"/>
          <w:sz w:val="18"/>
          <w:shd w:fill="F2F5F8"/>
        </w:rPr>
        <w:t>...Persistencia</w:t>
      </w:r>
      <w:r>
        <w:t xml:space="preserve"> implementa datos, </w:t>
      </w:r>
      <w:r>
        <w:rPr>
          <w:rFonts w:ascii="Consolas" w:hAnsi="Consolas" w:eastAsia="Consolas"/>
          <w:color w:val="1F4D78"/>
          <w:sz w:val="18"/>
          <w:shd w:fill="F2F5F8"/>
        </w:rPr>
        <w:t>...Presentacion</w:t>
      </w:r>
      <w:r>
        <w:t xml:space="preserve"> transforma estado y </w:t>
      </w:r>
      <w:r>
        <w:rPr>
          <w:rFonts w:ascii="Consolas" w:hAnsi="Consolas" w:eastAsia="Consolas"/>
          <w:color w:val="1F4D78"/>
          <w:sz w:val="18"/>
          <w:shd w:fill="F2F5F8"/>
        </w:rPr>
        <w:t>...Composicion</w:t>
      </w:r>
      <w:r>
        <w:t xml:space="preserve"> conecta objetos.</w:t>
      </w:r>
    </w:p>
    <w:p>
      <w:r>
        <w:t>Los campos privados se declaran antes de métodos. Las secciones publicadas se reducen al contrato necesario. No se usa un formulario como repositorio ni un módulo de datos como contenedor global de todo el dominio.</w:t>
      </w:r>
    </w:p>
    <w:p>
      <w:bookmarkStart w:id="52" w:name="h_043"/>
      <w:pPr>
        <w:pStyle w:val="Heading3"/>
      </w:pPr>
      <w:r>
        <w:t>7.2 Formularios delgados</w:t>
      </w:r>
      <w:bookmarkEnd w:id="52"/>
    </w:p>
    <w:p>
      <w:r>
        <w:t>Un evento VCL válido:</w:t>
      </w:r>
    </w:p>
    <w:p>
      <w:pPr>
        <w:pStyle w:val="CodeBlock"/>
        <w:keepLines/>
        <w:shd w:fill="F2F5F8"/>
      </w:pPr>
      <w:r>
        <w:t>procedure TfrmFacturas.btnConsolidarClick(Sender: TObject);</w:t>
        <w:br/>
        <w:t>begin</w:t>
        <w:br/>
        <w:t xml:space="preserve">  FAplicacionConsolidacion.Ejecutar(SerieActual, NumeroActual, UsuarioActual);</w:t>
        <w:br/>
        <w:t>end;</w:t>
      </w:r>
    </w:p>
    <w:p>
      <w:r>
        <w:t>El caso de uso valida, abre UoW, invoca repositorios y devuelve/presenta resultado. El formulario conserva decisiones visuales: foco, selección, mensajes, habilitación y layout. La consulta, el cálculo fiscal y el stock no son decisiones visuales.</w:t>
      </w:r>
    </w:p>
    <w:p>
      <w:bookmarkStart w:id="53" w:name="h_044"/>
      <w:pPr>
        <w:pStyle w:val="Heading3"/>
      </w:pPr>
      <w:r>
        <w:t>7.3 DevExpress, grids y columnas dinámicas</w:t>
      </w:r>
      <w:bookmarkEnd w:id="53"/>
    </w:p>
    <w:p>
      <w:r>
        <w:t>La configuración de columnas se centraliza en presentadores o servicios reutilizables. Un grid no debe inferir tipos de atributo a partir del caption. Los modos automático/SKU/tallas se modelan como estado, y el cambio de modo debe ser reversible y repetible. Las columnas dinámicas se prueban con cero, una y muchas dimensiones, valores inactivos y cambios de resolución.</w:t>
      </w:r>
    </w:p>
    <w:p>
      <w:bookmarkStart w:id="54" w:name="h_045"/>
      <w:pPr>
        <w:pStyle w:val="Heading3"/>
      </w:pPr>
      <w:r>
        <w:t>7.4 Excepciones y mensajes</w:t>
      </w:r>
      <w:bookmarkEnd w:id="54"/>
    </w:p>
    <w:p>
      <w:r>
        <w:t>No se muestra al usuario una excepción SQL completa. El adaptador traduce errores esperables —clave duplicada, bloqueo, datos no válidos— a resultados de aplicación. Los mensajes técnicos se registran con contexto. Las validaciones de formulario enfocan el campo tipado devuelto por el servicio.</w:t>
      </w:r>
    </w:p>
    <w:p>
      <w:bookmarkStart w:id="55" w:name="h_046"/>
      <w:pPr>
        <w:pStyle w:val="Heading2"/>
      </w:pPr>
      <w:r>
        <w:t>8. Libro de estilo de base de datos</w:t>
      </w:r>
      <w:bookmarkEnd w:id="55"/>
    </w:p>
    <w:p>
      <w:bookmarkStart w:id="56" w:name="h_047"/>
      <w:pPr>
        <w:pStyle w:val="Heading3"/>
      </w:pPr>
      <w:r>
        <w:t>8.1 Convenciones esenciales</w:t>
      </w:r>
      <w:bookmarkEnd w:id="56"/>
    </w:p>
    <w:p>
      <w:r>
        <w:t xml:space="preserve">Las tablas propias siguen prefijo </w:t>
      </w:r>
      <w:r>
        <w:rPr>
          <w:rFonts w:ascii="Consolas" w:hAnsi="Consolas" w:eastAsia="Consolas"/>
          <w:color w:val="1F4D78"/>
          <w:sz w:val="18"/>
          <w:shd w:fill="F2F5F8"/>
        </w:rPr>
        <w:t>fza_</w:t>
      </w:r>
      <w:r>
        <w:t xml:space="preserve">; columnas y sufijos respetan el catálogo del libro de estilo. Los booleanos usan </w:t>
      </w:r>
      <w:r>
        <w:rPr>
          <w:rFonts w:ascii="Consolas" w:hAnsi="Consolas" w:eastAsia="Consolas"/>
          <w:color w:val="1F4D78"/>
          <w:sz w:val="18"/>
          <w:shd w:fill="F2F5F8"/>
        </w:rPr>
        <w:t>S/N</w:t>
      </w:r>
      <w:r>
        <w:t xml:space="preserve"> donde lo define el esquema. Las tablas auditables incluyen usuario e instante de alta/modificación según su familia. Nombres de índices, claves y vistas deben ser deterministas y legibles.</w:t>
      </w:r>
    </w:p>
    <w:p>
      <w:r>
        <w:t>No se añaden triggers, funciones o claves foráneas nuevas sin una decisión arquitectónica expresa. La ausencia histórica de FK no autoriza inconsistencias: la aplicación y las pruebas protegen relaciones, y las migraciones deben detectar datos incompatibles antes de endurecer el esquema.</w:t>
      </w:r>
    </w:p>
    <w:p>
      <w:bookmarkStart w:id="57" w:name="h_048"/>
      <w:pPr>
        <w:pStyle w:val="Heading3"/>
      </w:pPr>
      <w:r>
        <w:t>8.2 Consultas</w:t>
      </w:r>
      <w:bookmarkEnd w:id="57"/>
    </w:p>
    <w:p>
      <w:pPr>
        <w:pStyle w:val="ListBullet"/>
        <w:numPr>
          <w:ilvl w:val="0"/>
          <w:numId w:val="18"/>
        </w:numPr>
      </w:pPr>
      <w:r>
        <w:t>parámetros enlazados; nunca concatenar entrada de usuario;</w:t>
      </w:r>
    </w:p>
    <w:p>
      <w:pPr>
        <w:pStyle w:val="ListBullet"/>
        <w:numPr>
          <w:ilvl w:val="0"/>
          <w:numId w:val="18"/>
        </w:numPr>
      </w:pPr>
      <w:r>
        <w:t xml:space="preserve">columnas explícitas en lugar de </w:t>
      </w:r>
      <w:r>
        <w:rPr>
          <w:rFonts w:ascii="Consolas" w:hAnsi="Consolas" w:eastAsia="Consolas"/>
          <w:color w:val="1F4D78"/>
          <w:sz w:val="18"/>
          <w:shd w:fill="F2F5F8"/>
        </w:rPr>
        <w:t>SELECT *</w:t>
      </w:r>
      <w:r>
        <w:t xml:space="preserve"> para contratos estables;</w:t>
      </w:r>
    </w:p>
    <w:p>
      <w:pPr>
        <w:pStyle w:val="ListBullet"/>
        <w:numPr>
          <w:ilvl w:val="0"/>
          <w:numId w:val="18"/>
        </w:numPr>
      </w:pPr>
      <w:r>
        <w:t>alias y tipos coherentes con los DTO;</w:t>
      </w:r>
    </w:p>
    <w:p>
      <w:pPr>
        <w:pStyle w:val="ListBullet"/>
        <w:numPr>
          <w:ilvl w:val="0"/>
          <w:numId w:val="18"/>
        </w:numPr>
      </w:pPr>
      <w:r>
        <w:t>filtros sargables e índices justificados por planes de ejecución;</w:t>
      </w:r>
    </w:p>
    <w:p>
      <w:pPr>
        <w:pStyle w:val="ListBullet"/>
        <w:numPr>
          <w:ilvl w:val="0"/>
          <w:numId w:val="18"/>
        </w:numPr>
      </w:pPr>
      <w:r>
        <w:t>orden determinista cuando el consumidor depende de él;</w:t>
      </w:r>
    </w:p>
    <w:p>
      <w:pPr>
        <w:pStyle w:val="ListBullet"/>
        <w:numPr>
          <w:ilvl w:val="0"/>
          <w:numId w:val="18"/>
        </w:numPr>
      </w:pPr>
      <w:r>
        <w:t>una consulta de UI no contiene escritura ni lógica fiscal oculta.</w:t>
      </w:r>
    </w:p>
    <w:p>
      <w:r>
        <w:t>El comprobador actual aún señala SQL de dominio, SQL/transacciones y consultas UI. No se toman las cifras de un acta histórica como línea base: se ejecutan los scripts sobre la revisión que se va a integrar.</w:t>
      </w:r>
    </w:p>
    <w:p>
      <w:bookmarkStart w:id="58" w:name="h_049"/>
      <w:pPr>
        <w:pStyle w:val="Heading3"/>
      </w:pPr>
      <w:r>
        <w:t>8.3 Migraciones idempotentes</w:t>
      </w:r>
      <w:bookmarkEnd w:id="58"/>
    </w:p>
    <w:p>
      <w:r>
        <w:t xml:space="preserve">Una migración en </w:t>
      </w:r>
      <w:r>
        <w:rPr>
          <w:rFonts w:ascii="Consolas" w:hAnsi="Consolas" w:eastAsia="Consolas"/>
          <w:color w:val="1F4D78"/>
          <w:sz w:val="18"/>
          <w:shd w:fill="F2F5F8"/>
        </w:rPr>
        <w:t>DESARROLLOS EN CURSO</w:t>
      </w:r>
      <w:r>
        <w:t>:</w:t>
      </w:r>
    </w:p>
    <w:p>
      <w:pPr>
        <w:pStyle w:val="ListNumber"/>
        <w:numPr>
          <w:ilvl w:val="0"/>
          <w:numId w:val="19"/>
        </w:numPr>
      </w:pPr>
      <w:r>
        <w:t>describe propósito, precondiciones y reversión;</w:t>
      </w:r>
    </w:p>
    <w:p>
      <w:pPr>
        <w:pStyle w:val="ListNumber"/>
        <w:numPr>
          <w:ilvl w:val="0"/>
          <w:numId w:val="19"/>
        </w:numPr>
      </w:pPr>
      <w:r>
        <w:t>comprueba existencia de tabla, columna o índice mediante metadatos;</w:t>
      </w:r>
    </w:p>
    <w:p>
      <w:pPr>
        <w:pStyle w:val="ListNumber"/>
        <w:numPr>
          <w:ilvl w:val="0"/>
          <w:numId w:val="19"/>
        </w:numPr>
      </w:pPr>
      <w:r>
        <w:t>valida datos antes de cambiar tipos o restricciones;</w:t>
      </w:r>
    </w:p>
    <w:p>
      <w:pPr>
        <w:pStyle w:val="ListNumber"/>
        <w:numPr>
          <w:ilvl w:val="0"/>
          <w:numId w:val="19"/>
        </w:numPr>
      </w:pPr>
      <w:r>
        <w:t>aplica cambios con nombres estables;</w:t>
      </w:r>
    </w:p>
    <w:p>
      <w:pPr>
        <w:pStyle w:val="ListNumber"/>
        <w:numPr>
          <w:ilvl w:val="0"/>
          <w:numId w:val="19"/>
        </w:numPr>
      </w:pPr>
      <w:r>
        <w:t>puede ejecutarse dos veces sin fallo ni duplicado;</w:t>
      </w:r>
    </w:p>
    <w:p>
      <w:pPr>
        <w:pStyle w:val="ListNumber"/>
        <w:numPr>
          <w:ilvl w:val="0"/>
          <w:numId w:val="19"/>
        </w:numPr>
      </w:pPr>
      <w:r>
        <w:t>incluye consultas de comprobación posterior;</w:t>
      </w:r>
    </w:p>
    <w:p>
      <w:pPr>
        <w:pStyle w:val="ListNumber"/>
        <w:numPr>
          <w:ilvl w:val="0"/>
          <w:numId w:val="19"/>
        </w:numPr>
      </w:pPr>
      <w:r>
        <w:t xml:space="preserve">no modifica </w:t>
      </w:r>
      <w:r>
        <w:rPr>
          <w:rFonts w:ascii="Consolas" w:hAnsi="Consolas" w:eastAsia="Consolas"/>
          <w:color w:val="1F4D78"/>
          <w:sz w:val="18"/>
          <w:shd w:fill="F2F5F8"/>
        </w:rPr>
        <w:t>factuzam_original.sql</w:t>
      </w:r>
      <w:r>
        <w:t>.</w:t>
      </w:r>
    </w:p>
    <w:p>
      <w:r>
        <w:t>Los cambios de datos masivos se dividen en lotes cuando sea necesario y registran avance. Si la operación no es transaccional en la versión del motor, el plan de recuperación se documenta antes de ejecutar.</w:t>
      </w:r>
    </w:p>
    <w:p>
      <w:bookmarkStart w:id="59" w:name="h_050"/>
      <w:pPr>
        <w:pStyle w:val="Heading2"/>
      </w:pPr>
      <w:r>
        <w:t>9. Perfiles SQL y catálogo de operaciones</w:t>
      </w:r>
      <w:bookmarkEnd w:id="59"/>
    </w:p>
    <w:p>
      <w:bookmarkStart w:id="60" w:name="h_051"/>
      <w:pPr>
        <w:pStyle w:val="Heading3"/>
      </w:pPr>
      <w:r>
        <w:t>9.1 Modelo</w:t>
      </w:r>
      <w:bookmarkEnd w:id="60"/>
    </w:p>
    <w:p>
      <w:r>
        <w:t>El sistema de perfiles separa el nombre lógico de una operación de su SQL físico. El catálogo documentado contiene 126 operaciones: 122 lecturas gobernables por perfil y cuatro operaciones base no sustituibles, entre ellas comprobaciones de esquema y escrituras especialmente protegidas. La cifra es una foto del manual de perfiles; al cambiar el catálogo se regenera y valida.</w:t>
      </w:r>
    </w:p>
    <w:p>
      <w:r>
        <w:t>Una operación se identifica de forma estable, resuelve el perfil activo y obtiene SQL validado. Si el perfil no existe o no supera validación, se aplica la política de fallback prevista y se registra el diagnóstico. Un perfil no puede convertir una lectura en escritura ni introducir varias sentencias.</w:t>
      </w:r>
    </w:p>
    <w:p>
      <w:bookmarkStart w:id="61" w:name="h_052"/>
      <w:pPr>
        <w:pStyle w:val="Heading3"/>
      </w:pPr>
      <w:r>
        <w:t>9.2 Contratos y repositorios</w:t>
      </w:r>
      <w:bookmarkEnd w:id="61"/>
    </w:p>
    <w:p>
      <w:r>
        <w:t>Los consumidores invocan repositorios por capacidad. El repositorio consulta el catálogo/perfil, enlaza parámetros y devuelve un DTO o dataset de propiedad conocida. El nombre lógico no aparece duplicado en formularios. Las cuatro operaciones base permanecen fuera del mecanismo sustituible para proteger integridad y arranque.</w:t>
      </w:r>
    </w:p>
    <w:p>
      <w:bookmarkStart w:id="62" w:name="h_053"/>
      <w:pPr>
        <w:pStyle w:val="Heading3"/>
      </w:pPr>
      <w:r>
        <w:t>9.3 Alta de una operación</w:t>
      </w:r>
      <w:bookmarkEnd w:id="62"/>
    </w:p>
    <w:p>
      <w:pPr>
        <w:pStyle w:val="ListBullet"/>
        <w:numPr>
          <w:ilvl w:val="0"/>
          <w:numId w:val="20"/>
        </w:numPr>
      </w:pPr>
      <w:r>
        <w:t>definir identificador y propósito;</w:t>
      </w:r>
    </w:p>
    <w:p>
      <w:pPr>
        <w:pStyle w:val="ListBullet"/>
        <w:numPr>
          <w:ilvl w:val="0"/>
          <w:numId w:val="20"/>
        </w:numPr>
      </w:pPr>
      <w:r>
        <w:t>registrar SQL base con parámetros tipados;</w:t>
      </w:r>
    </w:p>
    <w:p>
      <w:pPr>
        <w:pStyle w:val="ListBullet"/>
        <w:numPr>
          <w:ilvl w:val="0"/>
          <w:numId w:val="20"/>
        </w:numPr>
      </w:pPr>
      <w:r>
        <w:t>clasificar si admite perfil;</w:t>
      </w:r>
    </w:p>
    <w:p>
      <w:pPr>
        <w:pStyle w:val="ListBullet"/>
        <w:numPr>
          <w:ilvl w:val="0"/>
          <w:numId w:val="20"/>
        </w:numPr>
      </w:pPr>
      <w:r>
        <w:t>añadir validación de solo lectura y columnas esperadas;</w:t>
      </w:r>
    </w:p>
    <w:p>
      <w:pPr>
        <w:pStyle w:val="ListBullet"/>
        <w:numPr>
          <w:ilvl w:val="0"/>
          <w:numId w:val="20"/>
        </w:numPr>
      </w:pPr>
      <w:r>
        <w:t>probar perfil válido, ausente, inválido y fallback;</w:t>
      </w:r>
    </w:p>
    <w:p>
      <w:pPr>
        <w:pStyle w:val="ListBullet"/>
        <w:numPr>
          <w:ilvl w:val="0"/>
          <w:numId w:val="20"/>
        </w:numPr>
      </w:pPr>
      <w:r>
        <w:t>exportar catálogo y revisar diferencias;</w:t>
      </w:r>
    </w:p>
    <w:p>
      <w:pPr>
        <w:pStyle w:val="ListBullet"/>
        <w:numPr>
          <w:ilvl w:val="0"/>
          <w:numId w:val="20"/>
        </w:numPr>
      </w:pPr>
      <w:r>
        <w:t>añadir diagnóstico sin datos sensibles.</w:t>
      </w:r>
    </w:p>
    <w:p>
      <w:bookmarkStart w:id="63" w:name="h_054"/>
      <w:pPr>
        <w:pStyle w:val="Heading2"/>
      </w:pPr>
      <w:r>
        <w:t>10. Compilación y pruebas</w:t>
      </w:r>
      <w:bookmarkEnd w:id="63"/>
    </w:p>
    <w:p>
      <w:bookmarkStart w:id="64" w:name="h_055"/>
      <w:pPr>
        <w:pStyle w:val="Heading3"/>
      </w:pPr>
      <w:r>
        <w:t>10.1 Entorno reproducible</w:t>
      </w:r>
      <w:bookmarkEnd w:id="64"/>
    </w:p>
    <w:p>
      <w:r>
        <w:t xml:space="preserve">El script </w:t>
      </w:r>
      <w:r>
        <w:rPr>
          <w:rFonts w:ascii="Consolas" w:hAnsi="Consolas" w:eastAsia="Consolas"/>
          <w:color w:val="1F4D78"/>
          <w:sz w:val="18"/>
          <w:shd w:fill="F2F5F8"/>
        </w:rPr>
        <w:t>eng/compilar.ps1</w:t>
      </w:r>
      <w:r>
        <w:t xml:space="preserve"> usa rutas explícitas para Delphi y componentes mediante variables como </w:t>
      </w:r>
      <w:r>
        <w:rPr>
          <w:rFonts w:ascii="Consolas" w:hAnsi="Consolas" w:eastAsia="Consolas"/>
          <w:color w:val="1F4D78"/>
          <w:sz w:val="18"/>
          <w:shd w:fill="F2F5F8"/>
        </w:rPr>
        <w:t>FACTUZAM_DELPHI_ROOT</w:t>
      </w:r>
      <w:r>
        <w:t xml:space="preserve">, </w:t>
      </w:r>
      <w:r>
        <w:rPr>
          <w:rFonts w:ascii="Consolas" w:hAnsi="Consolas" w:eastAsia="Consolas"/>
          <w:color w:val="1F4D78"/>
          <w:sz w:val="18"/>
          <w:shd w:fill="F2F5F8"/>
        </w:rPr>
        <w:t>FACTUZAM_DEVEXPRESS_ROOT</w:t>
      </w:r>
      <w:r>
        <w:t xml:space="preserve">, </w:t>
      </w:r>
      <w:r>
        <w:rPr>
          <w:rFonts w:ascii="Consolas" w:hAnsi="Consolas" w:eastAsia="Consolas"/>
          <w:color w:val="1F4D78"/>
          <w:sz w:val="18"/>
          <w:shd w:fill="F2F5F8"/>
        </w:rPr>
        <w:t>FACTUZAM_FASTREPORT_ROOT</w:t>
      </w:r>
      <w:r>
        <w:t xml:space="preserve"> y </w:t>
      </w:r>
      <w:r>
        <w:rPr>
          <w:rFonts w:ascii="Consolas" w:hAnsi="Consolas" w:eastAsia="Consolas"/>
          <w:color w:val="1F4D78"/>
          <w:sz w:val="18"/>
          <w:shd w:fill="F2F5F8"/>
        </w:rPr>
        <w:t>FACTUZAM_UNIDAC_ROOT</w:t>
      </w:r>
      <w:r>
        <w:t xml:space="preserve">. La salida reproducible se dirige a </w:t>
      </w:r>
      <w:r>
        <w:rPr>
          <w:rFonts w:ascii="Consolas" w:hAnsi="Consolas" w:eastAsia="Consolas"/>
          <w:color w:val="1F4D78"/>
          <w:sz w:val="18"/>
          <w:shd w:fill="F2F5F8"/>
        </w:rPr>
        <w:t>build/reproducible</w:t>
      </w:r>
      <w:r>
        <w:t>. Las licencias y rutas locales no se incorporan al repositorio.</w:t>
      </w:r>
    </w:p>
    <w:p>
      <w:r>
        <w:t>La presencia actual de proyectos de pruebas en APOYO prevalece sobre notas antiguas que decían que habían sido retirados. Se compilan y ejecutan DUnitX en Win32 y Win64 cuando el cambio lo requiere; no se presupone que el recuento histórico siga siendo el actual.</w:t>
      </w:r>
    </w:p>
    <w:p>
      <w:bookmarkStart w:id="65" w:name="h_056"/>
      <w:pPr>
        <w:pStyle w:val="Heading3"/>
      </w:pPr>
      <w:r>
        <w:t>10.2 Puertas de calidad</w:t>
      </w:r>
      <w:bookmarkEnd w:id="65"/>
    </w:p>
    <w:p>
      <w:r>
        <w:t xml:space="preserve">APOYO contiene 16 comprobadores individuales </w:t>
      </w:r>
      <w:r>
        <w:rPr>
          <w:rFonts w:ascii="Consolas" w:hAnsi="Consolas" w:eastAsia="Consolas"/>
          <w:color w:val="1F4D78"/>
          <w:sz w:val="18"/>
          <w:shd w:fill="F2F5F8"/>
        </w:rPr>
        <w:t>comprobar_*.ps1</w:t>
      </w:r>
      <w:r>
        <w:t xml:space="preserve">, el agregador </w:t>
      </w:r>
      <w:r>
        <w:rPr>
          <w:rFonts w:ascii="Consolas" w:hAnsi="Consolas" w:eastAsia="Consolas"/>
          <w:color w:val="1F4D78"/>
          <w:sz w:val="18"/>
          <w:shd w:fill="F2F5F8"/>
        </w:rPr>
        <w:t>comprobar_calidad.ps1</w:t>
      </w:r>
      <w:r>
        <w:t xml:space="preserve"> y el ejecutor Delphi. Entre las puertas relevantes están registro/composición, acoplamiento, formularios delgados, dependencias ocultas, estado global, ISP, tamaños, métodos largos, estilo, flujos, SQL de dominio, transacciones y consultas UI.</w:t>
      </w:r>
    </w:p>
    <w:p>
      <w:r>
        <w:t xml:space="preserve">En la observación del 23 de agosto de 2026 pasan registro, </w:t>
      </w:r>
      <w:r>
        <w:rPr>
          <w:rFonts w:ascii="Consolas" w:hAnsi="Consolas" w:eastAsia="Consolas"/>
          <w:color w:val="1F4D78"/>
          <w:sz w:val="18"/>
          <w:shd w:fill="F2F5F8"/>
        </w:rPr>
        <w:t>Supports=0</w:t>
      </w:r>
      <w:r>
        <w:t>, acoplamiento, formularios delgados y dependencias ocultas. Fallan o requieren atención estado global, ISP, tamaños, métodos largos, estilo, flujos, SQL de dominio, SQL/transacciones y consultas UI. Este dato orienta; no sustituye una ejecución limpia en la revisión candidata.</w:t>
      </w:r>
    </w:p>
    <w:p>
      <w:bookmarkStart w:id="66" w:name="h_057"/>
      <w:pPr>
        <w:pStyle w:val="Heading3"/>
      </w:pPr>
      <w:r>
        <w:t>10.3 Protocolo mínimo</w:t>
      </w:r>
      <w:bookmarkEnd w:id="66"/>
    </w:p>
    <w:p>
      <w:pPr>
        <w:pStyle w:val="CodeBlock"/>
        <w:keepLines/>
        <w:shd w:fill="F2F5F8"/>
      </w:pPr>
      <w:r>
        <w:t>1. Ejecutar el comprobador específico antes de editar.</w:t>
        <w:br/>
        <w:t>2. Guardar la línea base y justificar excepciones existentes.</w:t>
        <w:br/>
        <w:t>3. Compilar las plataformas afectadas.</w:t>
        <w:br/>
        <w:t>4. Ejecutar pruebas unitarias y de integración.</w:t>
        <w:br/>
        <w:t>5. Aplicar migraciones dos veces en una base de prueba.</w:t>
        <w:br/>
        <w:t>6. Ejecutar el agregador completo.</w:t>
        <w:br/>
        <w:t>7. Repetir el flujo funcional crítico con datos controlados.</w:t>
      </w:r>
    </w:p>
    <w:p>
      <w:bookmarkStart w:id="67" w:name="h_058"/>
      <w:pPr>
        <w:pStyle w:val="Heading1"/>
        <w:pageBreakBefore/>
      </w:pPr>
      <w:r>
        <w:t>Parte IV · Dominios y documentos comerciales</w:t>
      </w:r>
      <w:bookmarkEnd w:id="67"/>
    </w:p>
    <w:p>
      <w:bookmarkStart w:id="68" w:name="h_059"/>
      <w:pPr>
        <w:pStyle w:val="Heading2"/>
      </w:pPr>
      <w:r>
        <w:t>11. Catálogo, artículos, SKU, atributos y fotos</w:t>
      </w:r>
      <w:bookmarkEnd w:id="68"/>
    </w:p>
    <w:p>
      <w:bookmarkStart w:id="69" w:name="h_060"/>
      <w:pPr>
        <w:pStyle w:val="Heading3"/>
      </w:pPr>
      <w:r>
        <w:t>11.1 Identidad del artículo</w:t>
      </w:r>
      <w:bookmarkEnd w:id="69"/>
    </w:p>
    <w:p>
      <w:r>
        <w:t>El artículo es la raíz comercial; el SKU identifica una variación vendible. Atributos, tallas, colores, unidades, EAN, tarifas y disponibilidad deben mantener una clave estable. No se usa la descripción como identidad. Un SKU inactivo se conserva para histórico y, según el flujo, publica stock cero o se omite; no se elimina por una sincronización rutinaria.</w:t>
      </w:r>
    </w:p>
    <w:p>
      <w:r>
        <w:t xml:space="preserve">La entrada por matriz y las columnas dinámicas comparten catálogo de atributos, pero su presentación difiere. </w:t>
      </w:r>
      <w:r>
        <w:rPr>
          <w:rFonts w:ascii="Consolas" w:hAnsi="Consolas" w:eastAsia="Consolas"/>
          <w:color w:val="1F4D78"/>
          <w:sz w:val="18"/>
          <w:shd w:fill="F2F5F8"/>
        </w:rPr>
        <w:t>IProveedorValoresSku</w:t>
      </w:r>
      <w:r>
        <w:t xml:space="preserve"> abastece la rejilla; la operación que persiste una línea valida que el SKU pertenece al artículo y está permitido para el documento.</w:t>
      </w:r>
    </w:p>
    <w:p>
      <w:r>
        <w:t xml:space="preserve">Incluso el artículo simple posee un SKU base persistido: el código de unidad coincide con el artículo y la variación es </w:t>
      </w:r>
      <w:r>
        <w:rPr>
          <w:rFonts w:ascii="Consolas" w:hAnsi="Consolas" w:eastAsia="Consolas"/>
          <w:color w:val="1F4D78"/>
          <w:sz w:val="18"/>
          <w:shd w:fill="F2F5F8"/>
        </w:rPr>
        <w:t>-</w:t>
      </w:r>
      <w:r>
        <w:t>. No se mantiene un fallback virtual en tiempo de ejecución. Para atributos básicos, la resolución es override de artículo, después conjunto y finalmente global; ausencia de fila significa heredar y una fila con valor nulo representa bloqueo explícito. Para propiedades efectivas, el orden es SKU, color/prefijo y artículo.</w:t>
      </w:r>
    </w:p>
    <w:p>
      <w:r>
        <w:t>Al materializar compras, el color de identidad del SKU deriva del texto saneado del proveedor; el color básico clasifica, pero no fusiona identidades. Esta regla no migra automáticamente SKU antiguos. Cadenas distintas que saneen al mismo valor y concurrencia requieren prueba de unicidad.</w:t>
      </w:r>
    </w:p>
    <w:p>
      <w:bookmarkStart w:id="70" w:name="h_061"/>
      <w:pPr>
        <w:pStyle w:val="Heading3"/>
      </w:pPr>
      <w:r>
        <w:t>11.2 Fotos</w:t>
      </w:r>
      <w:bookmarkEnd w:id="70"/>
    </w:p>
    <w:p>
      <w:r>
        <w:t>Las fotos se tratan como recurso con metadatos, orden y propietario. Las operaciones deben evitar binarios duplicados, rutas inseguras y referencias huérfanas. Los procesos web publican nombre, tamaño y SHA-256 en trazas, no la ruta privada ni credenciales. Las sesiones de compra que capturan fotos mantienen el archivo temporal hasta materializar o cancelar.</w:t>
      </w:r>
    </w:p>
    <w:p>
      <w:r>
        <w:t>La resolución vigente busca foto de SKU exacto, después el prefijo/color más específico, luego la foto del artículo y por último la primera disponible del artículo. Se generan tamaños 300, 600 y real según el contrato actual y se invalida la caché de FastReport. Fuentes antiguas discrepan entre JPG y PNG; el formato instalado se confirma antes de migrar. Las fotos de sesiones siguen siendo propuesta, no flujo terminado.</w:t>
      </w:r>
    </w:p>
    <w:p>
      <w:bookmarkStart w:id="71" w:name="h_062"/>
      <w:pPr>
        <w:pStyle w:val="Heading3"/>
      </w:pPr>
      <w:r>
        <w:t>11.3 Tarifas y unidades</w:t>
      </w:r>
      <w:bookmarkEnd w:id="71"/>
    </w:p>
    <w:p>
      <w:r>
        <w:t>Un precio se interpreta con su tarifa, moneda, impuestos y unidad. Las conversiones de unidad no se dispersan por formularios. Los cambios masivos preservan auditoría y se prueban con redondeo, tarifa ausente, fecha de vigencia y SKU con impacto positivo o negativo.</w:t>
      </w:r>
    </w:p>
    <w:p>
      <w:r>
        <w:t>La ventana de descuento de tarifa admite límites abiertos; fuera de ella se conserva el precio sin descuento. Una instalación sin las columnas nuevas debe mantener la conducta clásica. El soporte de cantidades decimales es parcial en documentos, tickets, Excel e informes: se valida extremo a extremo antes de declarar una unidad como soportada.</w:t>
      </w:r>
    </w:p>
    <w:p>
      <w:bookmarkStart w:id="72" w:name="h_063"/>
      <w:pPr>
        <w:pStyle w:val="Heading2"/>
      </w:pPr>
      <w:r>
        <w:t>12. Compras y proveedores</w:t>
      </w:r>
      <w:bookmarkEnd w:id="72"/>
    </w:p>
    <w:p>
      <w:bookmarkStart w:id="73" w:name="h_064"/>
      <w:pPr>
        <w:pStyle w:val="Heading3"/>
      </w:pPr>
      <w:r>
        <w:t>12.1 Flujo documental</w:t>
      </w:r>
      <w:bookmarkEnd w:id="73"/>
    </w:p>
    <w:p>
      <w:pPr>
        <w:pStyle w:val="CodeBlock"/>
        <w:keepLines/>
        <w:shd w:fill="F2F5F8"/>
      </w:pPr>
      <w:r>
        <w:t>Sesión BORRADOR</w:t>
        <w:br/>
        <w:t xml:space="preserve">   └─ materialización atómica</w:t>
        <w:br/>
        <w:t xml:space="preserve">      ├─ artículos / SKU / EAN / proveedor / tarifas</w:t>
        <w:br/>
        <w:t xml:space="preserve">      └─ N pedidos o N albaranes por almacén</w:t>
        <w:br/>
        <w:t xml:space="preserve">            └─ recepción/incorporación</w:t>
        <w:br/>
        <w:t xml:space="preserve">                  └─ stock + pendientes + estado</w:t>
        <w:br/>
        <w:t xml:space="preserve">                        └─ factura de compra</w:t>
        <w:br/>
        <w:t xml:space="preserve">                              └─ efectos / conciliación / remesa</w:t>
      </w:r>
    </w:p>
    <w:p>
      <w:r>
        <w:t>La sesión admite líneas MATRIZ, ESCALAR y SERVICIO, variación por línea, precio de compra único por línea, varios almacenes y kits del proveedor. Mientras está en borrador no modifica maestro ni stock. «Crear artículos y documentos» materializa dentro de una sola unidad de trabajo; un error revierte todo y se registra después del rollback.</w:t>
      </w:r>
    </w:p>
    <w:p>
      <w:bookmarkStart w:id="74" w:name="h_065"/>
      <w:pPr>
        <w:pStyle w:val="Heading3"/>
      </w:pPr>
      <w:r>
        <w:t>12.2 Pedido, albarán y recepción</w:t>
      </w:r>
      <w:bookmarkEnd w:id="74"/>
    </w:p>
    <w:p>
      <w:r>
        <w:t>El pedido no mueve stock. Mantiene cantidades pedidas, servidas y pendientes. Al crear o incorporar un albarán se recorta contra la cantidad pendiente, entra stock, se sincronizan acumuladores y el pedido pasa por ABIERTO, PARCIAL o RECIBIDO. La recepción parcial, repetición y concurrencia deben ser idempotentes.</w:t>
      </w:r>
    </w:p>
    <w:p>
      <w:r>
        <w:t xml:space="preserve">Las series se resuelven por empresa y almacén. Nunca se reutiliza la serie de otro almacén porque exista una fila coincidente. </w:t>
      </w:r>
      <w:r>
        <w:rPr>
          <w:rFonts w:ascii="Consolas" w:hAnsi="Consolas" w:eastAsia="Consolas"/>
          <w:color w:val="1F4D78"/>
          <w:sz w:val="18"/>
          <w:shd w:fill="F2F5F8"/>
        </w:rPr>
        <w:t>ColumnSKUcxGrid</w:t>
      </w:r>
      <w:r>
        <w:t xml:space="preserve"> está portado a pedido, albarán, factura y devolución de compra; las sesiones usan su propio modelo y quedan fuera.</w:t>
      </w:r>
    </w:p>
    <w:p>
      <w:bookmarkStart w:id="75" w:name="h_066"/>
      <w:pPr>
        <w:pStyle w:val="Heading3"/>
      </w:pPr>
      <w:r>
        <w:t>12.3 Factura, devolución y efectos</w:t>
      </w:r>
      <w:bookmarkEnd w:id="75"/>
    </w:p>
    <w:p>
      <w:r>
        <w:t>Una factura agrupa albaranes solo si comparten proveedor y empresa. Los efectos se generan por plazos con ajuste determinista de redondeo; un pago parcial puede desdoblar el efecto. Fusión, conciliación y remesa respetan estados y no duplican importes.</w:t>
      </w:r>
    </w:p>
    <w:p>
      <w:r>
        <w:t>La devolución usa cantidad positiva en UI, pero genera movimiento de salida de tipo DC. Quedan documentados como pendientes el origen directo desde factura/albarán y un acumulador propio de devolución; se verifica en código antes de asumirlos.</w:t>
      </w:r>
    </w:p>
    <w:p>
      <w:bookmarkStart w:id="76" w:name="h_067"/>
      <w:pPr>
        <w:pStyle w:val="Heading3"/>
      </w:pPr>
      <w:r>
        <w:t>12.4 Estado y pruebas</w:t>
      </w:r>
      <w:bookmarkEnd w:id="76"/>
    </w:p>
    <w:p>
      <w:r>
        <w:t>Hay evidencia fuerte de recepción —38 comprobaciones sin fallos en un acta—, pero la propia fuente indica falta de prueba UI real. Los documentos iniciales de pedido/albarán enumeran tallas, movimientos y facturación como pendientes; fuentes posteriores acreditan avances. Por ello se usa el estado más reciente confirmado y se reejecuta el flujo.</w:t>
      </w:r>
    </w:p>
    <w:p>
      <w:r>
        <w:t>Pruebas críticas:</w:t>
      </w:r>
    </w:p>
    <w:p>
      <w:pPr>
        <w:pStyle w:val="ListBullet"/>
        <w:numPr>
          <w:ilvl w:val="0"/>
          <w:numId w:val="21"/>
        </w:numPr>
      </w:pPr>
      <w:r>
        <w:t>fallo inyectado en cada paso de materialización y repetición posterior;</w:t>
      </w:r>
    </w:p>
    <w:p>
      <w:pPr>
        <w:pStyle w:val="ListBullet"/>
        <w:numPr>
          <w:ilvl w:val="0"/>
          <w:numId w:val="21"/>
        </w:numPr>
      </w:pPr>
      <w:r>
        <w:t>concurrencia al crear EAN, familias y códigos;</w:t>
      </w:r>
    </w:p>
    <w:p>
      <w:pPr>
        <w:pStyle w:val="ListBullet"/>
        <w:numPr>
          <w:ilvl w:val="0"/>
          <w:numId w:val="21"/>
        </w:numPr>
      </w:pPr>
      <w:r>
        <w:t>varios almacenes y series;</w:t>
      </w:r>
    </w:p>
    <w:p>
      <w:pPr>
        <w:pStyle w:val="ListBullet"/>
        <w:numPr>
          <w:ilvl w:val="0"/>
          <w:numId w:val="21"/>
        </w:numPr>
      </w:pPr>
      <w:r>
        <w:t>recepción parcial, exceso, incorporación sobre albarán cerrado y reversión;</w:t>
      </w:r>
    </w:p>
    <w:p>
      <w:pPr>
        <w:pStyle w:val="ListBullet"/>
        <w:numPr>
          <w:ilvl w:val="0"/>
          <w:numId w:val="21"/>
        </w:numPr>
      </w:pPr>
      <w:r>
        <w:t>agrupación de albaranes compatibles e incompatibles;</w:t>
      </w:r>
    </w:p>
    <w:p>
      <w:pPr>
        <w:pStyle w:val="ListBullet"/>
        <w:numPr>
          <w:ilvl w:val="0"/>
          <w:numId w:val="21"/>
        </w:numPr>
      </w:pPr>
      <w:r>
        <w:t>efectos al contado, por plazos, pago parcial y remesa;</w:t>
      </w:r>
    </w:p>
    <w:p>
      <w:pPr>
        <w:pStyle w:val="ListBullet"/>
        <w:numPr>
          <w:ilvl w:val="0"/>
          <w:numId w:val="21"/>
        </w:numPr>
      </w:pPr>
      <w:r>
        <w:t>migraciones aplicadas dos veces.</w:t>
      </w:r>
    </w:p>
    <w:p>
      <w:bookmarkStart w:id="77" w:name="h_068"/>
      <w:pPr>
        <w:pStyle w:val="Heading2"/>
      </w:pPr>
      <w:r>
        <w:t>13. Ventas, facturas y movimientos</w:t>
      </w:r>
      <w:bookmarkEnd w:id="77"/>
    </w:p>
    <w:p>
      <w:bookmarkStart w:id="78" w:name="h_069"/>
      <w:pPr>
        <w:pStyle w:val="Heading3"/>
      </w:pPr>
      <w:r>
        <w:t>13.1 Ciclo de factura</w:t>
      </w:r>
      <w:bookmarkEnd w:id="78"/>
    </w:p>
    <w:p>
      <w:r>
        <w:t>Una factura nace como BORRADOR. La consolidación valida cabecera, operación fiscal, líneas, numeración, cliente, empresa y modo fiscal. Después coordina movimientos, efectos y emisión. No se imprime como definitiva ni se exporta fiscalmente si el modo exige consolidación y esta no ha ocurrido.</w:t>
      </w:r>
    </w:p>
    <w:p>
      <w:r>
        <w:t>Reabrir no es «cambiar un campo»: se bloquea la cabecera y se comprueba consolidación y cola. No se reabre una factura consolidada, una alta aceptada/enviada o un registro que se está procesando. El servicio devuelve un resultado explícito y la vista presenta el motivo.</w:t>
      </w:r>
    </w:p>
    <w:p>
      <w:bookmarkStart w:id="79" w:name="h_070"/>
      <w:pPr>
        <w:pStyle w:val="Heading3"/>
      </w:pPr>
      <w:r>
        <w:t>13.2 Movimientos e idempotencia</w:t>
      </w:r>
      <w:bookmarkEnd w:id="79"/>
    </w:p>
    <w:p>
      <w:r>
        <w:t>Cada línea que mueve stock se relaciona con un movimiento estable. Antes de insertar se busca uno existente por tipo de documento, serie, número y línea. La operación enlaza el número de movimiento y recalcula el documento en la misma UoW. Una repetición no duplica stock.</w:t>
      </w:r>
    </w:p>
    <w:p>
      <w:r>
        <w:t>El albarán de venta usa puertos específicos de persistencia, unidad de trabajo y operación para el mismo objetivo: separar el evento visual de la mutación de movimientos.</w:t>
      </w:r>
    </w:p>
    <w:p>
      <w:bookmarkStart w:id="80" w:name="h_071"/>
      <w:pPr>
        <w:pStyle w:val="Heading3"/>
      </w:pPr>
      <w:r>
        <w:t>13.3 Cobros y PDFs</w:t>
      </w:r>
      <w:bookmarkEnd w:id="80"/>
    </w:p>
    <w:p>
      <w:r>
        <w:t>Los efectos de venta se generan desde la factura y se estampan con banco/IBAN conforme al cliente. Registrar cobro y cambiar estado requieren usuario y número de efecto. Los PDFs se guardan solo después de una exportación correcta; el formato y usuario quedan asociados.</w:t>
      </w:r>
    </w:p>
    <w:p>
      <w:r>
        <w:t xml:space="preserve">En factura, el archivado se solicita mediante </w:t>
      </w:r>
      <w:r>
        <w:rPr>
          <w:rFonts w:ascii="Consolas" w:hAnsi="Consolas" w:eastAsia="Consolas"/>
          <w:color w:val="1F4D78"/>
          <w:sz w:val="18"/>
          <w:shd w:fill="F2F5F8"/>
        </w:rPr>
        <w:t>IVistaFactura.ArchivarFactura</w:t>
      </w:r>
      <w:r>
        <w:t xml:space="preserve"> después de completar el caso de uso fiscal. Un fallo recuperable al guardar el PDF se registra y permite regeneración, pero no revierte una consolidación fiscal ya terminada. Esta asimetría es deliberada y debe probarse con fallo de disco/BLOB.</w:t>
      </w:r>
    </w:p>
    <w:p>
      <w:r>
        <w:t>El lote PDF es PROPUESTO. Hasta que exista y pase pruebas, la operación vigente sigue siendo la impresión/exportación disponible en el código actual. No se documenta un botón futuro como funcionalidad instalada.</w:t>
      </w:r>
    </w:p>
    <w:p>
      <w:bookmarkStart w:id="81" w:name="h_072"/>
      <w:pPr>
        <w:pStyle w:val="Heading2"/>
      </w:pPr>
      <w:r>
        <w:t>14. Inventario, stock, PMP y balances</w:t>
      </w:r>
      <w:bookmarkEnd w:id="81"/>
    </w:p>
    <w:p>
      <w:bookmarkStart w:id="82" w:name="h_073"/>
      <w:pPr>
        <w:pStyle w:val="Heading3"/>
      </w:pPr>
      <w:r>
        <w:t>14.1 Libro de movimientos</w:t>
      </w:r>
      <w:bookmarkEnd w:id="82"/>
    </w:p>
    <w:p>
      <w:r>
        <w:rPr>
          <w:rFonts w:ascii="Consolas" w:hAnsi="Consolas" w:eastAsia="Consolas"/>
          <w:color w:val="1F4D78"/>
          <w:sz w:val="18"/>
          <w:shd w:fill="F2F5F8"/>
        </w:rPr>
        <w:t>fza_movimientos_almacen</w:t>
      </w:r>
      <w:r>
        <w:t xml:space="preserve"> es la fuente cronológica. </w:t>
      </w:r>
      <w:r>
        <w:rPr>
          <w:rFonts w:ascii="Consolas" w:hAnsi="Consolas" w:eastAsia="Consolas"/>
          <w:color w:val="1F4D78"/>
          <w:sz w:val="18"/>
          <w:shd w:fill="F2F5F8"/>
        </w:rPr>
        <w:t>fza_articulos_stockactual</w:t>
      </w:r>
      <w:r>
        <w:t xml:space="preserve"> es una proyección por almacén, SKU y lote con cantidad, PMP, valor y acumulados. El stock no deriva de contadores visuales. Cada alta documenta origen, empresa, almacén, SKU/artículo, cantidad, fecha y usuario. Correcciones y reaperturas crean o revierten relaciones de forma trazable. La cantidad cambia de signo según la estrategia documental, no según el texto mostrado.</w:t>
      </w:r>
    </w:p>
    <w:p>
      <w:r>
        <w:t>Las entradas ponderan el PMP; las salidas conservan y capturan el PMP vigente. Con stock previo menor o igual a cero, el PMP pasa al coste de la entrada; con stock positivo se aplica media ponderada. Los traspasos llevan el coste del origen al destino y después ambos almacenes pueden divergir. Pedidos y facturas de compra no generan movimientos.</w:t>
      </w:r>
    </w:p>
    <w:p>
      <w:bookmarkStart w:id="83" w:name="h_074"/>
      <w:pPr>
        <w:pStyle w:val="Heading3"/>
      </w:pPr>
      <w:r>
        <w:t>14.2 Precio medio ponderado</w:t>
      </w:r>
      <w:bookmarkEnd w:id="83"/>
    </w:p>
    <w:p>
      <w:r>
        <w:t xml:space="preserve">El PMP se recalcula por </w:t>
      </w:r>
      <w:r>
        <w:rPr>
          <w:rFonts w:ascii="Consolas" w:hAnsi="Consolas" w:eastAsia="Consolas"/>
          <w:color w:val="1F4D78"/>
          <w:sz w:val="18"/>
          <w:shd w:fill="F2F5F8"/>
        </w:rPr>
        <w:t>FECHA_MOV</w:t>
      </w:r>
      <w:r>
        <w:t xml:space="preserve">, </w:t>
      </w:r>
      <w:r>
        <w:rPr>
          <w:rFonts w:ascii="Consolas" w:hAnsi="Consolas" w:eastAsia="Consolas"/>
          <w:color w:val="1F4D78"/>
          <w:sz w:val="18"/>
          <w:shd w:fill="F2F5F8"/>
        </w:rPr>
        <w:t>INSTANTE_ALTA</w:t>
      </w:r>
      <w:r>
        <w:t xml:space="preserve"> y </w:t>
      </w:r>
      <w:r>
        <w:rPr>
          <w:rFonts w:ascii="Consolas" w:hAnsi="Consolas" w:eastAsia="Consolas"/>
          <w:color w:val="1F4D78"/>
          <w:sz w:val="18"/>
          <w:shd w:fill="F2F5F8"/>
        </w:rPr>
        <w:t>NUMERO_MOV</w:t>
      </w:r>
      <w:r>
        <w:t>. Los inventarios retroactivos obligan a reprocesar desde el primer instante afectado. Un inventario conserva la cantidad física contada y reajusta su regularización; un PMP marcado como manual se conserva incluso si vale cero. Aplicar el inventario crea el par salida/entrada, reconstruye el futuro y marca APLICADO dentro de una transacción.</w:t>
      </w:r>
    </w:p>
    <w:p>
      <w:r>
        <w:t xml:space="preserve">El motor set-based sustituye cursores anidados y reconstruye también acumulados. Los procesos largos trabajan por lotes, informan progreso y pueden reanudarse sin saltar movimientos. La migración que amplía </w:t>
      </w:r>
      <w:r>
        <w:rPr>
          <w:rFonts w:ascii="Consolas" w:hAnsi="Consolas" w:eastAsia="Consolas"/>
          <w:color w:val="1F4D78"/>
          <w:sz w:val="18"/>
          <w:shd w:fill="F2F5F8"/>
        </w:rPr>
        <w:t>LINEA_MOV</w:t>
      </w:r>
      <w:r>
        <w:t xml:space="preserve"> debe aplicarse en el orden documentado; un esquema aún corto puede truncar o colisionar claves.</w:t>
      </w:r>
    </w:p>
    <w:p>
      <w:r>
        <w:t>Casos obligatorios: entrada inicial, segunda entrada con precio distinto, salida sin alterar el coste de forma incorrecta, stock cero/negativo según política, movimiento retroactivo, anulación y concurrencia. Las optimizaciones deben comparar resultado exacto con la versión de referencia antes de medir rendimiento.</w:t>
      </w:r>
    </w:p>
    <w:p>
      <w:bookmarkStart w:id="84" w:name="h_075"/>
      <w:pPr>
        <w:pStyle w:val="Heading3"/>
      </w:pPr>
      <w:r>
        <w:t>14.3 Balance por tallas</w:t>
      </w:r>
      <w:bookmarkEnd w:id="84"/>
    </w:p>
    <w:p>
      <w:r>
        <w:t>El informe fuente de dos páginas presenta balance horizontal por familia, artículo, color y talla, con totales, precio e importe. La consulta debe mantener columnas de talla en orden de catálogo, totales coherentes y filtros reproducibles. No se codifican tallas fijas en el informe; la guía de columnas dinámicas es la fuente de presentación.</w:t>
      </w:r>
    </w:p>
    <w:p>
      <w:bookmarkStart w:id="85" w:name="h_076"/>
      <w:pPr>
        <w:pStyle w:val="Heading2"/>
      </w:pPr>
      <w:r>
        <w:t>15. Caja, TPV, tesorería y pagos</w:t>
      </w:r>
      <w:bookmarkEnd w:id="85"/>
    </w:p>
    <w:p>
      <w:bookmarkStart w:id="86" w:name="h_077"/>
      <w:pPr>
        <w:pStyle w:val="Heading3"/>
      </w:pPr>
      <w:r>
        <w:t>15.1 Frontera de caja</w:t>
      </w:r>
      <w:bookmarkEnd w:id="86"/>
    </w:p>
    <w:p>
      <w:r>
        <w:t>Caja dispone de contratos separados para consultas, artículos, stock, tickets, resguardos, recordatorios, gastos, entradas de cambio, traspasos, arqueos e informes. La composición de pantalla agrupa capacidades, pero cada repositorio mantiene una responsabilidad. Los formularios no llaman SQL ni resuelven directamente transacciones.</w:t>
      </w:r>
    </w:p>
    <w:p>
      <w:bookmarkStart w:id="87" w:name="h_078"/>
      <w:pPr>
        <w:pStyle w:val="Heading3"/>
      </w:pPr>
      <w:r>
        <w:t>15.2 Operación de venta</w:t>
      </w:r>
      <w:bookmarkEnd w:id="87"/>
    </w:p>
    <w:p>
      <w:r>
        <w:t>La operación coordina entrada de artículos, política de stock, fase de cobro, grabación de factura simplificada, tickets y presentación. Una devolución puede tener importe entregado cero y aun así emitir un vale: la detección de novedad considera devolución, vale y otras salidas, no solo dinero recibido.</w:t>
      </w:r>
    </w:p>
    <w:p>
      <w:r>
        <w:t>El vale emitido se persiste con código único, importe nominal, caducidad y línea de pago negativa; el código se propaga al ticket vivo y a la reimpresión. Cerrar la UI como correcto sin haber grabado el vale es una regresión crítica.</w:t>
      </w:r>
    </w:p>
    <w:p>
      <w:r>
        <w:t xml:space="preserve">El tipo canónico de devolución es </w:t>
      </w:r>
      <w:r>
        <w:rPr>
          <w:rFonts w:ascii="Consolas" w:hAnsi="Consolas" w:eastAsia="Consolas"/>
          <w:color w:val="1F4D78"/>
          <w:sz w:val="18"/>
          <w:shd w:fill="F2F5F8"/>
        </w:rPr>
        <w:t>DV</w:t>
      </w:r>
      <w:r>
        <w:t xml:space="preserve">, no una venta negativa. Los textos históricos discrepan entre estados de vale </w:t>
      </w:r>
      <w:r>
        <w:rPr>
          <w:rFonts w:ascii="Consolas" w:hAnsi="Consolas" w:eastAsia="Consolas"/>
          <w:color w:val="1F4D78"/>
          <w:sz w:val="18"/>
          <w:shd w:fill="F2F5F8"/>
        </w:rPr>
        <w:t>CANJEADO</w:t>
      </w:r>
      <w:r>
        <w:t xml:space="preserve"> y </w:t>
      </w:r>
      <w:r>
        <w:rPr>
          <w:rFonts w:ascii="Consolas" w:hAnsi="Consolas" w:eastAsia="Consolas"/>
          <w:color w:val="1F4D78"/>
          <w:sz w:val="18"/>
          <w:shd w:fill="F2F5F8"/>
        </w:rPr>
        <w:t>REDIMIDO</w:t>
      </w:r>
      <w:r>
        <w:t xml:space="preserve">; se consulta el esquema/código instalado antes de crear filtros o migraciones. Las formas de pago se clasifican mediante </w:t>
      </w:r>
      <w:r>
        <w:rPr>
          <w:rFonts w:ascii="Consolas" w:hAnsi="Consolas" w:eastAsia="Consolas"/>
          <w:color w:val="1F4D78"/>
          <w:sz w:val="18"/>
          <w:shd w:fill="F2F5F8"/>
        </w:rPr>
        <w:t>ESABRE_CAJON</w:t>
      </w:r>
      <w:r>
        <w:t>, nunca por códigos fijos.</w:t>
      </w:r>
    </w:p>
    <w:p>
      <w:bookmarkStart w:id="88" w:name="h_079"/>
      <w:pPr>
        <w:pStyle w:val="Heading3"/>
      </w:pPr>
      <w:r>
        <w:t>15.3 Arqueos, traspasos e históricos</w:t>
      </w:r>
      <w:bookmarkEnd w:id="88"/>
    </w:p>
    <w:p>
      <w:r>
        <w:t>El arqueo consolida efectivo y medios de pago dentro de una caja y periodo. Los traspasos enlazan origen/destino y no pueden aplicarse dos veces. Históricos de operaciones y pagos son lectura; cualquier corrección se realiza por una operación explícita y auditada.</w:t>
      </w:r>
    </w:p>
    <w:p>
      <w:r>
        <w:t xml:space="preserve">Los cierres actuales se persisten y una reimpresión de cierre reproduce su snapshot, aunque un documento inicial describiera el arqueo como solo lectura. Una retirada obtiene numeración antes de abrir la transacción para evitar el commit implícito del generador. Los traspasos </w:t>
      </w:r>
      <w:r>
        <w:rPr>
          <w:rFonts w:ascii="Consolas" w:hAnsi="Consolas" w:eastAsia="Consolas"/>
          <w:color w:val="1F4D78"/>
          <w:sz w:val="18"/>
          <w:shd w:fill="F2F5F8"/>
        </w:rPr>
        <w:t>TR</w:t>
      </w:r>
      <w:r>
        <w:t xml:space="preserve"> y </w:t>
      </w:r>
      <w:r>
        <w:rPr>
          <w:rFonts w:ascii="Consolas" w:hAnsi="Consolas" w:eastAsia="Consolas"/>
          <w:color w:val="1F4D78"/>
          <w:sz w:val="18"/>
          <w:shd w:fill="F2F5F8"/>
        </w:rPr>
        <w:t>TA</w:t>
      </w:r>
      <w:r>
        <w:t xml:space="preserve"> están parcialmente entregados; escáner, parcial por cantidad, impresión y anulación conservan trabajo pendiente.</w:t>
      </w:r>
    </w:p>
    <w:p>
      <w:r>
        <w:t>Pruebas: apertura/cierre, efectivo exacto y diferencia, devolución con vale, reimpresión, gasto, entrada de cambio, traspaso repetido, caja ajena, cambio de fecha y fallo a mitad de UoW.</w:t>
      </w:r>
    </w:p>
    <w:p>
      <w:bookmarkStart w:id="89" w:name="h_080"/>
      <w:pPr>
        <w:pStyle w:val="Heading2"/>
      </w:pPr>
      <w:r>
        <w:t>16. Informes, impresión, Excel y PDF</w:t>
      </w:r>
      <w:bookmarkEnd w:id="89"/>
    </w:p>
    <w:p>
      <w:bookmarkStart w:id="90" w:name="h_081"/>
      <w:pPr>
        <w:pStyle w:val="Heading3"/>
      </w:pPr>
      <w:r>
        <w:t>16.1 Formatos y guías</w:t>
      </w:r>
      <w:bookmarkEnd w:id="90"/>
    </w:p>
    <w:p>
      <w:r>
        <w:t>Los formatos de impresión se resuelven por informe, usuario, grupo y valor global. Leer y guardar usa streams. El propietario controla edición/eliminación. Las guías permiten ampliar un informe en tiempo de ejecución; el enriquecedor modifica temporalmente el dataset y devuelve un restaurador que siempre se ejecuta.</w:t>
      </w:r>
    </w:p>
    <w:p>
      <w:r>
        <w:t>Un informe no debe alterar datos persistentes. Los campos calculados se documentan con nombre, tipo, origen y comportamiento cuando falta un dato. La caché se invalida al cambiar guía o formato.</w:t>
      </w:r>
    </w:p>
    <w:p>
      <w:r>
        <w:t xml:space="preserve">Las guías runtime están parcialmente presentes en contratos/implementaciones, pero su hoja funcional conserva riesgos: SQL configurable, ámbito, coste, N+1 y limpieza. Una futura consulta libre se restringe a </w:t>
      </w:r>
      <w:r>
        <w:rPr>
          <w:rFonts w:ascii="Consolas" w:hAnsi="Consolas" w:eastAsia="Consolas"/>
          <w:color w:val="1F4D78"/>
          <w:sz w:val="18"/>
          <w:shd w:fill="F2F5F8"/>
        </w:rPr>
        <w:t>SELECT</w:t>
      </w:r>
      <w:r>
        <w:t>, permisos y límites; ser administrador no evita por sí solo exfiltración.</w:t>
      </w:r>
    </w:p>
    <w:p>
      <w:bookmarkStart w:id="91" w:name="h_082"/>
      <w:pPr>
        <w:pStyle w:val="Heading3"/>
      </w:pPr>
      <w:r>
        <w:t>16.2 Exportaciones</w:t>
      </w:r>
      <w:bookmarkEnd w:id="91"/>
    </w:p>
    <w:p>
      <w:r>
        <w:t>Excel y PDF respetan filtros, orden, visibilidad y permisos. Los nombres de archivo se normalizan; se evita sobrescribir sin decisión. Una exportación grande se ejecuta fuera del hilo de UI o en proceso separado, con progreso y cancelación segura.</w:t>
      </w:r>
    </w:p>
    <w:p>
      <w:r>
        <w:t xml:space="preserve">Para PDF en lote, cada factura se genera en </w:t>
      </w:r>
      <w:r>
        <w:rPr>
          <w:rFonts w:ascii="Consolas" w:hAnsi="Consolas" w:eastAsia="Consolas"/>
          <w:color w:val="1F4D78"/>
          <w:sz w:val="18"/>
          <w:shd w:fill="F2F5F8"/>
        </w:rPr>
        <w:t>.part</w:t>
      </w:r>
      <w:r>
        <w:t xml:space="preserve">, se cierra y se publica mediante renombrado. </w:t>
      </w:r>
      <w:r>
        <w:rPr>
          <w:rFonts w:ascii="Consolas" w:hAnsi="Consolas" w:eastAsia="Consolas"/>
          <w:color w:val="1F4D78"/>
          <w:sz w:val="18"/>
          <w:shd w:fill="F2F5F8"/>
        </w:rPr>
        <w:t>EmbeddedFonts=True</w:t>
      </w:r>
      <w:r>
        <w:t xml:space="preserve"> mejora portabilidad. La cancelación ocurre entre facturas; no se interrumpe FastReport en mitad de un archivo.</w:t>
      </w:r>
    </w:p>
    <w:p>
      <w:r>
        <w:t xml:space="preserve">Los informes de balance con/sin tallas y movimientos de ventas aparecen codificados, pero siguen pendientes de desplegar SQL, compilar y validar la maqueta FastReport. El balance horizontal limita la presentación a 14 tallas; el vertical cubre el catálogo. En filtros jerárquicos, marcar una familia materializa toda la rama; la discrepancia entre </w:t>
      </w:r>
      <w:r>
        <w:rPr>
          <w:rFonts w:ascii="Consolas" w:hAnsi="Consolas" w:eastAsia="Consolas"/>
          <w:color w:val="1F4D78"/>
          <w:sz w:val="18"/>
          <w:shd w:fill="F2F5F8"/>
        </w:rPr>
        <w:t>CODIGO_SUBFAMILIA_FAM</w:t>
      </w:r>
      <w:r>
        <w:t xml:space="preserve"> y </w:t>
      </w:r>
      <w:r>
        <w:rPr>
          <w:rFonts w:ascii="Consolas" w:hAnsi="Consolas" w:eastAsia="Consolas"/>
          <w:color w:val="1F4D78"/>
          <w:sz w:val="18"/>
          <w:shd w:fill="F2F5F8"/>
        </w:rPr>
        <w:t>CODIGO_PADRE_FAM</w:t>
      </w:r>
      <w:r>
        <w:t xml:space="preserve"> debe resolverse antes de confiar en agrupaciones.</w:t>
      </w:r>
    </w:p>
    <w:p>
      <w:r>
        <w:t>La traducción usa claves estables por unidad, clase, componente y propiedad, con español DFM como fallback y pseudoidioma para QA. FastReport se traduce al cargar una salida, no al editar, para no contaminar el BLOB. La extracción/compilación es parcial y la revisión visual de D22/D23 no está cerrada.</w:t>
      </w:r>
    </w:p>
    <w:p>
      <w:bookmarkStart w:id="92" w:name="h_083"/>
      <w:pPr>
        <w:pStyle w:val="Heading1"/>
        <w:pageBreakBefore/>
      </w:pPr>
      <w:r>
        <w:t>Parte V · Fiscalidad e integraciones</w:t>
      </w:r>
      <w:bookmarkEnd w:id="92"/>
    </w:p>
    <w:p>
      <w:bookmarkStart w:id="93" w:name="h_084"/>
      <w:pPr>
        <w:pStyle w:val="Heading2"/>
      </w:pPr>
      <w:r>
        <w:t>17. Modos fiscales, VeriFactu y registro de eventos</w:t>
      </w:r>
      <w:bookmarkEnd w:id="93"/>
    </w:p>
    <w:p>
      <w:bookmarkStart w:id="94" w:name="h_085"/>
      <w:pPr>
        <w:pStyle w:val="Heading3"/>
      </w:pPr>
      <w:r>
        <w:t>17.1 Modos</w:t>
      </w:r>
      <w:bookmarkEnd w:id="94"/>
    </w:p>
    <w:p>
      <w:r>
        <w:rPr>
          <w:rFonts w:ascii="Consolas" w:hAnsi="Consolas" w:eastAsia="Consolas"/>
          <w:color w:val="1F4D78"/>
          <w:sz w:val="18"/>
          <w:shd w:fill="F2F5F8"/>
        </w:rPr>
        <w:t>appVerifactuActivo</w:t>
      </w:r>
      <w:r>
        <w:t xml:space="preserve"> actúa como conmutador maestro. El diseño distingue:</w:t>
      </w:r>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3000"/>
        <w:gridCol w:w="6360"/>
      </w:tblGrid>
      <w:tr>
        <w:trPr>
          <w:tblHeader w:val="true"/>
        </w:trPr>
        <w:tc>
          <w:tcPr>
            <w:tcW w:type="dxa" w:w="3000"/>
            <w:vAlign w:val="top"/>
            <w:shd w:fill="E8EEF5"/>
            <w:tcMar>
              <w:top w:w="80" w:type="dxa"/>
              <w:start w:w="120" w:type="dxa"/>
              <w:bottom w:w="80" w:type="dxa"/>
              <w:end w:w="120" w:type="dxa"/>
            </w:tcMar>
          </w:tcPr>
          <w:p>
            <w:pPr>
              <w:spacing w:after="40" w:line="252" w:lineRule="auto"/>
            </w:pPr>
            <w:r>
              <w:rPr>
                <w:b/>
                <w:color w:val="1F4D78"/>
                <w:sz w:val="18"/>
              </w:rPr>
              <w:t>Modo</w:t>
            </w:r>
          </w:p>
        </w:tc>
        <w:tc>
          <w:tcPr>
            <w:tcW w:type="dxa" w:w="6360"/>
            <w:vAlign w:val="top"/>
            <w:shd w:fill="E8EEF5"/>
            <w:tcMar>
              <w:top w:w="80" w:type="dxa"/>
              <w:start w:w="120" w:type="dxa"/>
              <w:bottom w:w="80" w:type="dxa"/>
              <w:end w:w="120" w:type="dxa"/>
            </w:tcMar>
          </w:tcPr>
          <w:p>
            <w:pPr>
              <w:spacing w:after="40" w:line="252" w:lineRule="auto"/>
            </w:pPr>
            <w:r>
              <w:rPr>
                <w:b/>
                <w:color w:val="1F4D78"/>
                <w:sz w:val="18"/>
              </w:rPr>
              <w:t>Conducta resumida</w:t>
            </w:r>
          </w:p>
        </w:tc>
      </w:tr>
      <w:tr>
        <w:tc>
          <w:tcPr>
            <w:tcW w:type="dxa" w:w="3000"/>
            <w:vAlign w:val="top"/>
            <w:tcMar>
              <w:top w:w="80" w:type="dxa"/>
              <w:start w:w="120" w:type="dxa"/>
              <w:bottom w:w="80" w:type="dxa"/>
              <w:end w:w="120" w:type="dxa"/>
            </w:tcMar>
          </w:tcPr>
          <w:p>
            <w:pPr>
              <w:spacing w:after="40" w:line="252" w:lineRule="auto"/>
            </w:pPr>
            <w:r>
              <w:rPr>
                <w:sz w:val="18"/>
              </w:rPr>
              <w:t>SIN</w:t>
            </w:r>
          </w:p>
        </w:tc>
        <w:tc>
          <w:tcPr>
            <w:tcW w:type="dxa" w:w="6360"/>
            <w:vAlign w:val="top"/>
            <w:tcMar>
              <w:top w:w="80" w:type="dxa"/>
              <w:start w:w="120" w:type="dxa"/>
              <w:bottom w:w="80" w:type="dxa"/>
              <w:end w:w="120" w:type="dxa"/>
            </w:tcMar>
          </w:tcPr>
          <w:p>
            <w:pPr>
              <w:spacing w:after="40" w:line="252" w:lineRule="auto"/>
            </w:pPr>
            <w:r>
              <w:rPr>
                <w:sz w:val="18"/>
              </w:rPr>
              <w:t>Transición sin flujo VeriFactu; se marca de forma explícita</w:t>
            </w:r>
          </w:p>
        </w:tc>
      </w:tr>
      <w:tr>
        <w:tc>
          <w:tcPr>
            <w:tcW w:type="dxa" w:w="3000"/>
            <w:vAlign w:val="top"/>
            <w:tcMar>
              <w:top w:w="80" w:type="dxa"/>
              <w:start w:w="120" w:type="dxa"/>
              <w:bottom w:w="80" w:type="dxa"/>
              <w:end w:w="120" w:type="dxa"/>
            </w:tcMar>
          </w:tcPr>
          <w:p>
            <w:pPr>
              <w:spacing w:after="40" w:line="252" w:lineRule="auto"/>
            </w:pPr>
            <w:r>
              <w:rPr>
                <w:sz w:val="18"/>
              </w:rPr>
              <w:t>VERIFACTU</w:t>
            </w:r>
          </w:p>
        </w:tc>
        <w:tc>
          <w:tcPr>
            <w:tcW w:type="dxa" w:w="6360"/>
            <w:vAlign w:val="top"/>
            <w:tcMar>
              <w:top w:w="80" w:type="dxa"/>
              <w:start w:w="120" w:type="dxa"/>
              <w:bottom w:w="80" w:type="dxa"/>
              <w:end w:w="120" w:type="dxa"/>
            </w:tcMar>
          </w:tcPr>
          <w:p>
            <w:pPr>
              <w:spacing w:after="40" w:line="252" w:lineRule="auto"/>
            </w:pPr>
            <w:r>
              <w:rPr>
                <w:sz w:val="18"/>
              </w:rPr>
              <w:t>Alta en cola y consolidación tras respuesta AEAT conforme al flujo</w:t>
            </w:r>
          </w:p>
        </w:tc>
      </w:tr>
      <w:tr>
        <w:tc>
          <w:tcPr>
            <w:tcW w:type="dxa" w:w="3000"/>
            <w:vAlign w:val="top"/>
            <w:tcMar>
              <w:top w:w="80" w:type="dxa"/>
              <w:start w:w="120" w:type="dxa"/>
              <w:bottom w:w="80" w:type="dxa"/>
              <w:end w:w="120" w:type="dxa"/>
            </w:tcMar>
          </w:tcPr>
          <w:p>
            <w:pPr>
              <w:spacing w:after="40" w:line="252" w:lineRule="auto"/>
            </w:pPr>
            <w:r>
              <w:rPr>
                <w:sz w:val="18"/>
              </w:rPr>
              <w:t>NO_VERIFACTU</w:t>
            </w:r>
          </w:p>
        </w:tc>
        <w:tc>
          <w:tcPr>
            <w:tcW w:type="dxa" w:w="6360"/>
            <w:vAlign w:val="top"/>
            <w:tcMar>
              <w:top w:w="80" w:type="dxa"/>
              <w:start w:w="120" w:type="dxa"/>
              <w:bottom w:w="80" w:type="dxa"/>
              <w:end w:w="120" w:type="dxa"/>
            </w:tcMar>
          </w:tcPr>
          <w:p>
            <w:pPr>
              <w:spacing w:after="40" w:line="252" w:lineRule="auto"/>
            </w:pPr>
            <w:r>
              <w:rPr>
                <w:sz w:val="18"/>
              </w:rPr>
              <w:t>Encadenamiento y firma XAdES locales con registro exigible</w:t>
            </w:r>
          </w:p>
        </w:tc>
      </w:tr>
    </w:tbl>
    <w:p>
      <w:pPr>
        <w:spacing w:after="0"/>
      </w:pPr>
    </w:p>
    <w:p>
      <w:r>
        <w:t>Las facturas nacen BORRADOR. Los nombres de estado en actas antiguas pueden diferir; el código y las migraciones actuales mandan. Toda operación registra quién, cuándo, acción, modo y relación con el documento.</w:t>
      </w:r>
    </w:p>
    <w:p>
      <w:bookmarkStart w:id="95" w:name="h_086"/>
      <w:pPr>
        <w:pStyle w:val="Heading3"/>
      </w:pPr>
      <w:r>
        <w:t>17.2 Cola multiestación</w:t>
      </w:r>
      <w:bookmarkEnd w:id="95"/>
    </w:p>
    <w:p>
      <w:r>
        <w:t>Cada trabajador usa conexión propia. La reclamación es optimista: selecciona candidatos, intenta reclamar por versión/estado y solo procesa los que obtuvo. Los fallos aplican backoff y dejan evento. Iniciar/detener el procesador no debe perder registros reclamados; al arrancar se recuperan estados huérfanos conforme a la política.</w:t>
      </w:r>
    </w:p>
    <w:p>
      <w:r>
        <w:t>La llamada AEAT no mantiene una transacción abierta. El payload y resultado se almacenan con minimización; los reintentos son idempotentes. Rectificativas y subsanaciones conservan relación con la factura original.</w:t>
      </w:r>
    </w:p>
    <w:p>
      <w:bookmarkStart w:id="96" w:name="h_087"/>
      <w:pPr>
        <w:pStyle w:val="Heading3"/>
      </w:pPr>
      <w:r>
        <w:t>17.3 Registro NO_VERIFACTU</w:t>
      </w:r>
      <w:bookmarkEnd w:id="96"/>
    </w:p>
    <w:p>
      <w:r>
        <w:t>El modo NO_VERIFACTU mantiene cadena, reloj validado, firma y exportación. Los contratos separan repositorio de eventos, validador de reloj, firmador y servicio. La clave privada y el certificado no aparecen en logs. La exportación conserva el orden y permite demostrar integridad.</w:t>
      </w:r>
    </w:p>
    <w:p>
      <w:bookmarkStart w:id="97" w:name="h_088"/>
      <w:pPr>
        <w:pStyle w:val="Heading2"/>
      </w:pPr>
      <w:r>
        <w:t>18. Facturae 3.2.2</w:t>
      </w:r>
      <w:bookmarkEnd w:id="97"/>
    </w:p>
    <w:p>
      <w:r>
        <w:t>Facturae se genera para factura NORMAL consolidada. El repositorio carga certificado de empresa, cabecera y líneas y guarda XML. El generador completa emisor, receptor, impuestos, totales y, cuando procede, DIR3 y datos de persona física congelados como snapshot.</w:t>
      </w:r>
    </w:p>
    <w:p>
      <w:r>
        <w:t>La firma XAdES se ejecuta mediante adaptador Windows. Se admite una tolerancia documentada de 0,05 para comprobaciones de total, pero no para ocultar una fórmula equivocada. El total correcto incorpora líquido y retención según la decisión más reciente; actas antiguas con otra fórmula son HISTÓRICAS.</w:t>
      </w:r>
    </w:p>
    <w:p>
      <w:r>
        <w:t>Pendientes o verificaciones: disponer de XSD versionado y validación automática, definir estados B2B, probar múltiples impuestos/retenciones y certificados caducados, y confirmar que el XML guardado coincide con el firmado.</w:t>
      </w:r>
    </w:p>
    <w:p>
      <w:r>
        <w:t>Las operaciones internacionales se seleccionan desde un catálogo abierto y validan país, NIF e impuestos. REBU permanece inactivo hasta resolver el cálculo de IVA sobre margen; no se activa por añadir un código de operación. QR y presentación fiscal usan la decisión más reciente del informe/formato y nunca convierten visualmente una factura pendiente en aceptada.</w:t>
      </w:r>
    </w:p>
    <w:p>
      <w:bookmarkStart w:id="98" w:name="h_089"/>
      <w:pPr>
        <w:pStyle w:val="Heading2"/>
      </w:pPr>
      <w:r>
        <w:t>19. PrestaShop</w:t>
      </w:r>
      <w:bookmarkEnd w:id="98"/>
    </w:p>
    <w:p>
      <w:bookmarkStart w:id="99" w:name="h_090"/>
      <w:pPr>
        <w:pStyle w:val="Heading3"/>
      </w:pPr>
      <w:r>
        <w:t>19.1 Modelo vigente monodestino</w:t>
      </w:r>
      <w:bookmarkEnd w:id="99"/>
    </w:p>
    <w:p>
      <w:r>
        <w:t>La integración actual es monodestino por perfil: parámetros escalares de web de artículos/almacén, cola versionada y eventos. El alta remota crea producto inactivo; los precios por SKU usan impactos; el stock suma solo almacenes web activos, físicos y de tipo ESTÁNDAR. Los cambios son idempotentes y se recuperan con barrido periódico y reintentos.</w:t>
      </w:r>
    </w:p>
    <w:p>
      <w:r>
        <w:t xml:space="preserve">Una versión ensayada obtuvo 31 de 147 casos en PASA, uno en FALLA y 115 pendientes: resultado NO-GO. La fuga inicial de URL por defecto de la Puerta A se corrigió para </w:t>
      </w:r>
      <w:r>
        <w:rPr>
          <w:rFonts w:ascii="Consolas" w:hAnsi="Consolas" w:eastAsia="Consolas"/>
          <w:color w:val="1F4D78"/>
          <w:sz w:val="18"/>
          <w:shd w:fill="F2F5F8"/>
        </w:rPr>
        <w:t>PS-INS-08</w:t>
      </w:r>
      <w:r>
        <w:t>, pero no convierte el conjunto en aprobado. Siguen pendientes retirada web completa, ambigüedad SKU, concurrencia/barrido y compra web hasta servicio.</w:t>
      </w:r>
    </w:p>
    <w:p>
      <w:bookmarkStart w:id="100" w:name="h_091"/>
      <w:pPr>
        <w:pStyle w:val="Heading3"/>
      </w:pPr>
      <w:r>
        <w:t>19.2 Multidestino</w:t>
      </w:r>
      <w:bookmarkEnd w:id="100"/>
    </w:p>
    <w:p>
      <w:r>
        <w:rPr>
          <w:rFonts w:ascii="Consolas" w:hAnsi="Consolas" w:eastAsia="Consolas"/>
          <w:color w:val="1F4D78"/>
          <w:sz w:val="18"/>
          <w:shd w:fill="F2F5F8"/>
        </w:rPr>
        <w:t>prestashop_multidestino.md</w:t>
      </w:r>
      <w:r>
        <w:t xml:space="preserve"> es PROPUESTO. Plantea instalación/destino, relaciones M:N de artículos y almacenes, tarifa/stock por destino, fan-out e identificadores remotos por destino. Faltan modelo de credenciales, permisos, coordinador, stock compartido y pruebas. No se crean columnas ni clases asumiendo que ya existe.</w:t>
      </w:r>
    </w:p>
    <w:p>
      <w:bookmarkStart w:id="101" w:name="h_092"/>
      <w:pPr>
        <w:pStyle w:val="Heading3"/>
      </w:pPr>
      <w:r>
        <w:t>19.3 Seguridad e idempotencia</w:t>
      </w:r>
      <w:bookmarkEnd w:id="101"/>
    </w:p>
    <w:p>
      <w:r>
        <w:t>Los eventos congelan intención y versión. Un fallo HTTP tras commit remoto se resuelve consultando/reintentando sin duplicar producto, combinación o imagen. Las trazas no incluyen clave, URL sensible ni rutas; para imágenes basta nombre, tamaño y SHA-256.</w:t>
      </w:r>
    </w:p>
    <w:p>
      <w:bookmarkStart w:id="102" w:name="h_093"/>
      <w:pPr>
        <w:pStyle w:val="Heading2"/>
      </w:pPr>
      <w:r>
        <w:t>20. Servicios web, API PHP, ventas WS y MCP</w:t>
      </w:r>
      <w:bookmarkEnd w:id="102"/>
    </w:p>
    <w:p>
      <w:bookmarkStart w:id="103" w:name="h_094"/>
      <w:pPr>
        <w:pStyle w:val="Heading3"/>
      </w:pPr>
      <w:r>
        <w:t>20.1 API PHP</w:t>
      </w:r>
      <w:bookmarkEnd w:id="103"/>
    </w:p>
    <w:p>
      <w:r>
        <w:t xml:space="preserve">La migración unificada contempla autenticación, SIF y fotos. El objetivo es token opaco por instalación, secreto hash en servidor, protección DPAPI en cliente, tenant derivado del token, ámbitos, respuesta homogénea e </w:t>
      </w:r>
      <w:r>
        <w:rPr>
          <w:rFonts w:ascii="Consolas" w:hAnsi="Consolas" w:eastAsia="Consolas"/>
          <w:color w:val="1F4D78"/>
          <w:sz w:val="18"/>
          <w:shd w:fill="F2F5F8"/>
        </w:rPr>
        <w:t>id_peticion</w:t>
      </w:r>
      <w:r>
        <w:t>. Antes de retirar endpoints legacy debe existir inventario de producción y compatibilidad explícita.</w:t>
      </w:r>
    </w:p>
    <w:p>
      <w:r>
        <w:t>La API no confía empresa/tenant enviados sin validar. Las respuestas de error son estables y no exponen SQL. La identidad y ventas requieren migraciones SQL separadas e idempotentes.</w:t>
      </w:r>
    </w:p>
    <w:p>
      <w:bookmarkStart w:id="104" w:name="h_095"/>
      <w:pPr>
        <w:pStyle w:val="Heading3"/>
      </w:pPr>
      <w:r>
        <w:t>20.2 Cola de ventas WS</w:t>
      </w:r>
      <w:bookmarkEnd w:id="104"/>
    </w:p>
    <w:p>
      <w:r>
        <w:t>La cola de ventas usa UUID y secuencia, eventos congelados e hilo independiente. Los PDF pueden viajar Base64 según el contrato documentado, pero esto aumenta sensibilidad y volumen: se aplican límites, autenticación, cifrado en tránsito, retención y reintento idempotente.</w:t>
      </w:r>
    </w:p>
    <w:p>
      <w:r>
        <w:t>Existe una tensión con endpoints de soporte públicos sin autenticación y con replicar filas/PDF completos. La dirección normativa es autenticación y minimización; cualquier excepción debe justificarse, acotarse y medirse antes de producción.</w:t>
      </w:r>
    </w:p>
    <w:p>
      <w:bookmarkStart w:id="105" w:name="h_096"/>
      <w:pPr>
        <w:pStyle w:val="Heading3"/>
      </w:pPr>
      <w:r>
        <w:t>20.3 MCP de consulta</w:t>
      </w:r>
      <w:bookmarkEnd w:id="105"/>
    </w:p>
    <w:p>
      <w:r>
        <w:t xml:space="preserve">MCP es solo lectura. Se ejecuta con usuario MariaDB limitado, nunca con </w:t>
      </w:r>
      <w:r>
        <w:rPr>
          <w:rFonts w:ascii="Consolas" w:hAnsi="Consolas" w:eastAsia="Consolas"/>
          <w:color w:val="1F4D78"/>
          <w:sz w:val="18"/>
          <w:shd w:fill="F2F5F8"/>
        </w:rPr>
        <w:t>root</w:t>
      </w:r>
      <w:r>
        <w:t xml:space="preserve"> ni clave vacía como práctica recomendada. Se liga a </w:t>
      </w:r>
      <w:r>
        <w:rPr>
          <w:rFonts w:ascii="Consolas" w:hAnsi="Consolas" w:eastAsia="Consolas"/>
          <w:color w:val="1F4D78"/>
          <w:sz w:val="18"/>
          <w:shd w:fill="F2F5F8"/>
        </w:rPr>
        <w:t>localhost</w:t>
      </w:r>
      <w:r>
        <w:t xml:space="preserve"> o se publica mediante canal seguro. Las herramientas validan límites, evitan consultas arbitrarias y registran solo metadatos necesarios.</w:t>
      </w:r>
    </w:p>
    <w:p>
      <w:bookmarkStart w:id="106" w:name="h_097"/>
      <w:pPr>
        <w:pStyle w:val="Heading1"/>
        <w:pageBreakBefore/>
      </w:pPr>
      <w:r>
        <w:t>Parte VI · Evolución, operación y calidad</w:t>
      </w:r>
      <w:bookmarkEnd w:id="106"/>
    </w:p>
    <w:p>
      <w:bookmarkStart w:id="107" w:name="h_098"/>
      <w:pPr>
        <w:pStyle w:val="Heading2"/>
      </w:pPr>
      <w:r>
        <w:t>21. Refactorización: cronología frente a estado actual</w:t>
      </w:r>
      <w:bookmarkEnd w:id="107"/>
    </w:p>
    <w:p>
      <w:bookmarkStart w:id="108" w:name="h_099"/>
      <w:pPr>
        <w:pStyle w:val="Heading3"/>
      </w:pPr>
      <w:r>
        <w:t>21.1 Cómo leer las fases</w:t>
      </w:r>
      <w:bookmarkEnd w:id="108"/>
    </w:p>
    <w:p>
      <w:r>
        <w:t>El archivo contiene 116 documentos de refactorización: estado/roadmap, fases 0–1, SQL-0 a SQL-3, fase 2 de contratos/capas, fase 3 de separación UI/dominio, fases 4–5, 49 piezas de fase 6, fase 7 y anexos SRP. La fase 6 se ordena 6a…6z y después 6aa…6av; el orden alfabético es incorrecto.</w:t>
      </w:r>
    </w:p>
    <w:p>
      <w:r>
        <w:t>Los resultados prueban cambios concretos, pero no son una especificación acumulativa. Al integrar una mejora se busca el símbolo actual y se ejecutan comprobadores. No se recrean piezas históricas ausentes —como un catálogo central— si la arquitectura actual adoptó autorregistro.</w:t>
      </w:r>
    </w:p>
    <w:p>
      <w:bookmarkStart w:id="109" w:name="h_100"/>
      <w:pPr>
        <w:pStyle w:val="Heading3"/>
      </w:pPr>
      <w:r>
        <w:t>21.2 Línea base histórica y hoja operativa</w:t>
      </w:r>
      <w:bookmarkEnd w:id="109"/>
    </w:p>
    <w:p>
      <w:r>
        <w:rPr>
          <w:rFonts w:ascii="Consolas" w:hAnsi="Consolas" w:eastAsia="Consolas"/>
          <w:color w:val="1F4D78"/>
          <w:sz w:val="18"/>
          <w:shd w:fill="F2F5F8"/>
        </w:rPr>
        <w:t>PLAN_SOLID.md</w:t>
      </w:r>
      <w:r>
        <w:t xml:space="preserve"> es una foto verde del 6 de agosto de 2026. </w:t>
      </w:r>
      <w:r>
        <w:rPr>
          <w:rFonts w:ascii="Consolas" w:hAnsi="Consolas" w:eastAsia="Consolas"/>
          <w:color w:val="1F4D78"/>
          <w:sz w:val="18"/>
          <w:shd w:fill="F2F5F8"/>
        </w:rPr>
        <w:t>TAREAS_IA_SOLID.md</w:t>
      </w:r>
      <w:r>
        <w:t>, fechada el 15 de agosto, es la fuente operativa posterior y refleja regresiones/deuda. Sus cifras son provisionales: 8/16 comprobadores verdes, 220 incidencias S31, tamaños y fan-out por encima de objetivo. La primera tarea definida es congelar línea base y reservas antes de continuar.</w:t>
      </w:r>
    </w:p>
    <w:p>
      <w:r>
        <w:t>La observación directa posterior confirma que algunas puertas pasan y otras fallan. Por tanto, el libro no publica un «todo verde». El objetivo es una reducción monotónica de deuda, no maquillar el umbral.</w:t>
      </w:r>
    </w:p>
    <w:p>
      <w:bookmarkStart w:id="110" w:name="h_101"/>
      <w:pPr>
        <w:pStyle w:val="Heading3"/>
      </w:pPr>
      <w:r>
        <w:t>21.3 Ratchets</w:t>
      </w:r>
      <w:bookmarkEnd w:id="110"/>
    </w:p>
    <w:p>
      <w:r>
        <w:t>Un ratchet acepta deuda conocida como línea base temporal, pero prohíbe empeorarla. Cada excepción tiene propietario, justificación y fecha. Cuando se corrige, el umbral baja. No se aumenta automáticamente porque una rama falla.</w:t>
      </w:r>
    </w:p>
    <w:p>
      <w:bookmarkStart w:id="111" w:name="h_102"/>
      <w:pPr>
        <w:pStyle w:val="Heading2"/>
      </w:pPr>
      <w:r>
        <w:t>22. Protocolo de trabajo coordinado</w:t>
      </w:r>
      <w:bookmarkEnd w:id="111"/>
    </w:p>
    <w:p>
      <w:bookmarkStart w:id="112" w:name="h_103"/>
      <w:pPr>
        <w:pStyle w:val="Heading3"/>
      </w:pPr>
      <w:r>
        <w:t>22.1 Estados de una tarea</w:t>
      </w:r>
      <w:bookmarkEnd w:id="112"/>
    </w:p>
    <w:p>
      <w:pPr>
        <w:pStyle w:val="CodeBlock"/>
        <w:keepLines/>
        <w:shd w:fill="F2F5F8"/>
      </w:pPr>
      <w:r>
        <w:t>BLOQUEADA → DISPONIBLE → RESERVADA → EN_CURSO</w:t>
        <w:br/>
        <w:t xml:space="preserve">          → LISTA_PARA_INTEGRAR → INTEGRANDO → CERRADA</w:t>
      </w:r>
    </w:p>
    <w:p>
      <w:r>
        <w:t>La tarea declara archivos reservados, dependencias y pruebas. Puede haber hasta tres carriles escritores y un integrador serial. Dos tareas no editan el mismo archivo simultáneamente. El integrador aplica puertas en orden y actualiza la línea base solo con evidencia.</w:t>
      </w:r>
    </w:p>
    <w:p>
      <w:bookmarkStart w:id="113" w:name="h_104"/>
      <w:pPr>
        <w:pStyle w:val="Heading3"/>
      </w:pPr>
      <w:r>
        <w:t>22.2 Gate serial</w:t>
      </w:r>
      <w:bookmarkEnd w:id="113"/>
    </w:p>
    <w:p>
      <w:pPr>
        <w:pStyle w:val="ListNumber"/>
        <w:numPr>
          <w:ilvl w:val="0"/>
          <w:numId w:val="22"/>
        </w:numPr>
      </w:pPr>
      <w:r>
        <w:t>Sincronizar revisión candidata y comprobar árbol de trabajo.</w:t>
      </w:r>
    </w:p>
    <w:p>
      <w:pPr>
        <w:pStyle w:val="ListNumber"/>
        <w:numPr>
          <w:ilvl w:val="0"/>
          <w:numId w:val="22"/>
        </w:numPr>
      </w:pPr>
      <w:r>
        <w:t>Confirmar que las reservas cubren todos los archivos tocados.</w:t>
      </w:r>
    </w:p>
    <w:p>
      <w:pPr>
        <w:pStyle w:val="ListNumber"/>
        <w:numPr>
          <w:ilvl w:val="0"/>
          <w:numId w:val="22"/>
        </w:numPr>
      </w:pPr>
      <w:r>
        <w:t>Compilar y ejecutar pruebas específicas.</w:t>
      </w:r>
    </w:p>
    <w:p>
      <w:pPr>
        <w:pStyle w:val="ListNumber"/>
        <w:numPr>
          <w:ilvl w:val="0"/>
          <w:numId w:val="22"/>
        </w:numPr>
      </w:pPr>
      <w:r>
        <w:t>Ejecutar comprobadores afectados y agregador.</w:t>
      </w:r>
    </w:p>
    <w:p>
      <w:pPr>
        <w:pStyle w:val="ListNumber"/>
        <w:numPr>
          <w:ilvl w:val="0"/>
          <w:numId w:val="22"/>
        </w:numPr>
      </w:pPr>
      <w:r>
        <w:t>Probar migraciones en limpio y segunda ejecución.</w:t>
      </w:r>
    </w:p>
    <w:p>
      <w:pPr>
        <w:pStyle w:val="ListNumber"/>
        <w:numPr>
          <w:ilvl w:val="0"/>
          <w:numId w:val="22"/>
        </w:numPr>
      </w:pPr>
      <w:r>
        <w:t>Revisar diff, secretos, licencias y documentación.</w:t>
      </w:r>
    </w:p>
    <w:p>
      <w:pPr>
        <w:pStyle w:val="ListNumber"/>
        <w:numPr>
          <w:ilvl w:val="0"/>
          <w:numId w:val="22"/>
        </w:numPr>
      </w:pPr>
      <w:r>
        <w:t>Integrar una única tarea; volver a medir antes de la siguiente.</w:t>
      </w:r>
    </w:p>
    <w:p>
      <w:bookmarkStart w:id="114" w:name="h_105"/>
      <w:pPr>
        <w:pStyle w:val="Heading3"/>
      </w:pPr>
      <w:r>
        <w:t>22.3 Árbol de trabajo sucio</w:t>
      </w:r>
      <w:bookmarkEnd w:id="114"/>
    </w:p>
    <w:p>
      <w:r>
        <w:t xml:space="preserve">Los cambios existentes pertenecen al usuario. No se revierten, mueven ni formatean archivos ajenos para limpiar el árbol. Se delimita el alcance y se trabaja alrededor. No se usa </w:t>
      </w:r>
      <w:r>
        <w:rPr>
          <w:rFonts w:ascii="Consolas" w:hAnsi="Consolas" w:eastAsia="Consolas"/>
          <w:color w:val="1F4D78"/>
          <w:sz w:val="18"/>
          <w:shd w:fill="F2F5F8"/>
        </w:rPr>
        <w:t>reset --hard</w:t>
      </w:r>
      <w:r>
        <w:t xml:space="preserve"> ni restauración destructiva salvo petición inequívoca.</w:t>
      </w:r>
    </w:p>
    <w:p>
      <w:bookmarkStart w:id="115" w:name="h_106"/>
      <w:pPr>
        <w:pStyle w:val="Heading2"/>
      </w:pPr>
      <w:r>
        <w:t>23. Recetas de diagnóstico</w:t>
      </w:r>
      <w:bookmarkEnd w:id="115"/>
    </w:p>
    <w:p>
      <w:bookmarkStart w:id="116" w:name="h_107"/>
      <w:pPr>
        <w:pStyle w:val="Heading3"/>
      </w:pPr>
      <w:r>
        <w:t>23.1 Un documento duplica stock</w:t>
      </w:r>
      <w:bookmarkEnd w:id="116"/>
    </w:p>
    <w:p>
      <w:pPr>
        <w:pStyle w:val="ListBullet"/>
        <w:numPr>
          <w:ilvl w:val="0"/>
          <w:numId w:val="23"/>
        </w:numPr>
      </w:pPr>
      <w:r>
        <w:t>buscar movimiento por tipo/serie/número/línea;</w:t>
      </w:r>
    </w:p>
    <w:p>
      <w:pPr>
        <w:pStyle w:val="ListBullet"/>
        <w:numPr>
          <w:ilvl w:val="0"/>
          <w:numId w:val="23"/>
        </w:numPr>
      </w:pPr>
      <w:r>
        <w:t>comprobar si la escritura y el enlace están en la misma UoW;</w:t>
      </w:r>
    </w:p>
    <w:p>
      <w:pPr>
        <w:pStyle w:val="ListBullet"/>
        <w:numPr>
          <w:ilvl w:val="0"/>
          <w:numId w:val="23"/>
        </w:numPr>
      </w:pPr>
      <w:r>
        <w:t>repetir la operación con la misma clave;</w:t>
      </w:r>
    </w:p>
    <w:p>
      <w:pPr>
        <w:pStyle w:val="ListBullet"/>
        <w:numPr>
          <w:ilvl w:val="0"/>
          <w:numId w:val="23"/>
        </w:numPr>
      </w:pPr>
      <w:r>
        <w:t xml:space="preserve">revisar signo de </w:t>
      </w:r>
      <w:r>
        <w:rPr>
          <w:rFonts w:ascii="Consolas" w:hAnsi="Consolas" w:eastAsia="Consolas"/>
          <w:color w:val="1F4D78"/>
          <w:sz w:val="18"/>
          <w:shd w:fill="F2F5F8"/>
        </w:rPr>
        <w:t>IEstrategiaDocumento</w:t>
      </w:r>
      <w:r>
        <w:t xml:space="preserve"> y acumuladores;</w:t>
      </w:r>
    </w:p>
    <w:p>
      <w:pPr>
        <w:pStyle w:val="ListBullet"/>
        <w:numPr>
          <w:ilvl w:val="0"/>
          <w:numId w:val="23"/>
        </w:numPr>
      </w:pPr>
      <w:r>
        <w:t>verificar reapertura/anulación y concurrencia.</w:t>
      </w:r>
    </w:p>
    <w:p>
      <w:bookmarkStart w:id="117" w:name="h_108"/>
      <w:pPr>
        <w:pStyle w:val="Heading3"/>
      </w:pPr>
      <w:r>
        <w:t>23.2 Una factura no puede reabrirse</w:t>
      </w:r>
      <w:bookmarkEnd w:id="117"/>
    </w:p>
    <w:p>
      <w:pPr>
        <w:pStyle w:val="ListBullet"/>
        <w:numPr>
          <w:ilvl w:val="0"/>
          <w:numId w:val="24"/>
        </w:numPr>
      </w:pPr>
      <w:r>
        <w:t>cargar fase, consolidación y estado de cola bajo bloqueo;</w:t>
      </w:r>
    </w:p>
    <w:p>
      <w:pPr>
        <w:pStyle w:val="ListBullet"/>
        <w:numPr>
          <w:ilvl w:val="0"/>
          <w:numId w:val="24"/>
        </w:numPr>
      </w:pPr>
      <w:r>
        <w:t>distinguir ENVIADA, PROCESANDO y alta aparcada;</w:t>
      </w:r>
    </w:p>
    <w:p>
      <w:pPr>
        <w:pStyle w:val="ListBullet"/>
        <w:numPr>
          <w:ilvl w:val="0"/>
          <w:numId w:val="24"/>
        </w:numPr>
      </w:pPr>
      <w:r>
        <w:t>no editar directamente la fase;</w:t>
      </w:r>
    </w:p>
    <w:p>
      <w:pPr>
        <w:pStyle w:val="ListBullet"/>
        <w:numPr>
          <w:ilvl w:val="0"/>
          <w:numId w:val="24"/>
        </w:numPr>
      </w:pPr>
      <w:r>
        <w:t>revisar eventos fiscales y relación rectificativa/subsanación;</w:t>
      </w:r>
    </w:p>
    <w:p>
      <w:pPr>
        <w:pStyle w:val="ListBullet"/>
        <w:numPr>
          <w:ilvl w:val="0"/>
          <w:numId w:val="24"/>
        </w:numPr>
      </w:pPr>
      <w:r>
        <w:t>presentar al usuario el motivo tipado.</w:t>
      </w:r>
    </w:p>
    <w:p>
      <w:bookmarkStart w:id="118" w:name="h_109"/>
      <w:pPr>
        <w:pStyle w:val="Heading3"/>
      </w:pPr>
      <w:r>
        <w:t>23.3 Una impresión cambia el dataset</w:t>
      </w:r>
      <w:bookmarkEnd w:id="118"/>
    </w:p>
    <w:p>
      <w:pPr>
        <w:pStyle w:val="ListBullet"/>
        <w:numPr>
          <w:ilvl w:val="0"/>
          <w:numId w:val="25"/>
        </w:numPr>
      </w:pPr>
      <w:r>
        <w:t>comprobar que el enriquecedor devuelve restaurador;</w:t>
      </w:r>
    </w:p>
    <w:p>
      <w:pPr>
        <w:pStyle w:val="ListBullet"/>
        <w:numPr>
          <w:ilvl w:val="0"/>
          <w:numId w:val="25"/>
        </w:numPr>
      </w:pPr>
      <w:r>
        <w:t>conservarlo hasta cerrar previsualización/exportación;</w:t>
      </w:r>
    </w:p>
    <w:p>
      <w:pPr>
        <w:pStyle w:val="ListBullet"/>
        <w:numPr>
          <w:ilvl w:val="0"/>
          <w:numId w:val="25"/>
        </w:numPr>
      </w:pPr>
      <w:r>
        <w:t xml:space="preserve">ejecutar restauración en </w:t>
      </w:r>
      <w:r>
        <w:rPr>
          <w:rFonts w:ascii="Consolas" w:hAnsi="Consolas" w:eastAsia="Consolas"/>
          <w:color w:val="1F4D78"/>
          <w:sz w:val="18"/>
          <w:shd w:fill="F2F5F8"/>
        </w:rPr>
        <w:t>finally</w:t>
      </w:r>
      <w:r>
        <w:t xml:space="preserve"> también al cancelar;</w:t>
      </w:r>
    </w:p>
    <w:p>
      <w:pPr>
        <w:pStyle w:val="ListBullet"/>
        <w:numPr>
          <w:ilvl w:val="0"/>
          <w:numId w:val="25"/>
        </w:numPr>
      </w:pPr>
      <w:r>
        <w:t>invalidar caché de guía/formato;</w:t>
      </w:r>
    </w:p>
    <w:p>
      <w:pPr>
        <w:pStyle w:val="ListBullet"/>
        <w:numPr>
          <w:ilvl w:val="0"/>
          <w:numId w:val="25"/>
        </w:numPr>
      </w:pPr>
      <w:r>
        <w:t>repetir dos veces y comparar campos/índices.</w:t>
      </w:r>
    </w:p>
    <w:p>
      <w:bookmarkStart w:id="119" w:name="h_110"/>
      <w:pPr>
        <w:pStyle w:val="Heading3"/>
      </w:pPr>
      <w:r>
        <w:t>23.4 Una cola repite HTTP</w:t>
      </w:r>
      <w:bookmarkEnd w:id="119"/>
    </w:p>
    <w:p>
      <w:pPr>
        <w:pStyle w:val="ListBullet"/>
        <w:numPr>
          <w:ilvl w:val="0"/>
          <w:numId w:val="26"/>
        </w:numPr>
      </w:pPr>
      <w:r>
        <w:t>verificar clave de idempotencia, versión e intento;</w:t>
      </w:r>
    </w:p>
    <w:p>
      <w:pPr>
        <w:pStyle w:val="ListBullet"/>
        <w:numPr>
          <w:ilvl w:val="0"/>
          <w:numId w:val="26"/>
        </w:numPr>
      </w:pPr>
      <w:r>
        <w:t>distinguir fallo antes y después del commit remoto;</w:t>
      </w:r>
    </w:p>
    <w:p>
      <w:pPr>
        <w:pStyle w:val="ListBullet"/>
        <w:numPr>
          <w:ilvl w:val="0"/>
          <w:numId w:val="26"/>
        </w:numPr>
      </w:pPr>
      <w:r>
        <w:t>consultar identificador remoto antes de crear;</w:t>
      </w:r>
    </w:p>
    <w:p>
      <w:pPr>
        <w:pStyle w:val="ListBullet"/>
        <w:numPr>
          <w:ilvl w:val="0"/>
          <w:numId w:val="26"/>
        </w:numPr>
      </w:pPr>
      <w:r>
        <w:t>revisar reclamación optimista y recuperación de huérfanos;</w:t>
      </w:r>
    </w:p>
    <w:p>
      <w:pPr>
        <w:pStyle w:val="ListBullet"/>
        <w:numPr>
          <w:ilvl w:val="0"/>
          <w:numId w:val="26"/>
        </w:numPr>
      </w:pPr>
      <w:r>
        <w:t>sanear logs de URL y credenciales.</w:t>
      </w:r>
    </w:p>
    <w:p>
      <w:bookmarkStart w:id="120" w:name="h_111"/>
      <w:pPr>
        <w:pStyle w:val="Heading3"/>
      </w:pPr>
      <w:r>
        <w:t>23.5 Una migración falla al repetirse</w:t>
      </w:r>
      <w:bookmarkEnd w:id="120"/>
    </w:p>
    <w:p>
      <w:pPr>
        <w:pStyle w:val="ListBullet"/>
        <w:numPr>
          <w:ilvl w:val="0"/>
          <w:numId w:val="27"/>
        </w:numPr>
      </w:pPr>
      <w:r>
        <w:t xml:space="preserve">consultar </w:t>
      </w:r>
      <w:r>
        <w:rPr>
          <w:rFonts w:ascii="Consolas" w:hAnsi="Consolas" w:eastAsia="Consolas"/>
          <w:color w:val="1F4D78"/>
          <w:sz w:val="18"/>
          <w:shd w:fill="F2F5F8"/>
        </w:rPr>
        <w:t>information_schema</w:t>
      </w:r>
      <w:r>
        <w:t xml:space="preserve"> con nombre exacto;</w:t>
      </w:r>
    </w:p>
    <w:p>
      <w:pPr>
        <w:pStyle w:val="ListBullet"/>
        <w:numPr>
          <w:ilvl w:val="0"/>
          <w:numId w:val="27"/>
        </w:numPr>
      </w:pPr>
      <w:r>
        <w:t>comprobar datos previos y colación;</w:t>
      </w:r>
    </w:p>
    <w:p>
      <w:pPr>
        <w:pStyle w:val="ListBullet"/>
        <w:numPr>
          <w:ilvl w:val="0"/>
          <w:numId w:val="27"/>
        </w:numPr>
      </w:pPr>
      <w:r>
        <w:t>evitar depender de mensajes de error para decidir existencia;</w:t>
      </w:r>
    </w:p>
    <w:p>
      <w:pPr>
        <w:pStyle w:val="ListBullet"/>
        <w:numPr>
          <w:ilvl w:val="0"/>
          <w:numId w:val="27"/>
        </w:numPr>
      </w:pPr>
      <w:r>
        <w:t>añadir verificación final;</w:t>
      </w:r>
    </w:p>
    <w:p>
      <w:pPr>
        <w:pStyle w:val="ListBullet"/>
        <w:numPr>
          <w:ilvl w:val="0"/>
          <w:numId w:val="27"/>
        </w:numPr>
      </w:pPr>
      <w:r>
        <w:t>probar desde estado inicial, parcial y completo.</w:t>
      </w:r>
    </w:p>
    <w:p>
      <w:bookmarkStart w:id="121" w:name="h_112"/>
      <w:pPr>
        <w:pStyle w:val="Heading2"/>
      </w:pPr>
      <w:r>
        <w:t>24. Definición de terminado</w:t>
      </w:r>
      <w:bookmarkEnd w:id="121"/>
    </w:p>
    <w:p>
      <w:r>
        <w:t>Un cambio documental está terminado cuando:</w:t>
      </w:r>
    </w:p>
    <w:p>
      <w:pPr>
        <w:pStyle w:val="ListBullet"/>
        <w:numPr>
          <w:ilvl w:val="0"/>
          <w:numId w:val="28"/>
        </w:numPr>
      </w:pPr>
      <w:r>
        <w:t>la responsabilidad vive en la capa adecuada y los contratos son pequeños;</w:t>
      </w:r>
    </w:p>
    <w:p>
      <w:pPr>
        <w:pStyle w:val="ListBullet"/>
        <w:numPr>
          <w:ilvl w:val="0"/>
          <w:numId w:val="28"/>
        </w:numPr>
      </w:pPr>
      <w:r>
        <w:t>DTO y propiedad de recursos están documentados;</w:t>
      </w:r>
    </w:p>
    <w:p>
      <w:pPr>
        <w:pStyle w:val="ListBullet"/>
        <w:numPr>
          <w:ilvl w:val="0"/>
          <w:numId w:val="28"/>
        </w:numPr>
      </w:pPr>
      <w:r>
        <w:t>serie, numeración, estado, permisos y modo fiscal se validan;</w:t>
      </w:r>
    </w:p>
    <w:p>
      <w:pPr>
        <w:pStyle w:val="ListBullet"/>
        <w:numPr>
          <w:ilvl w:val="0"/>
          <w:numId w:val="28"/>
        </w:numPr>
      </w:pPr>
      <w:r>
        <w:t>la operación completa es atómica o usa cola/outbox explícita;</w:t>
      </w:r>
    </w:p>
    <w:p>
      <w:pPr>
        <w:pStyle w:val="ListBullet"/>
        <w:numPr>
          <w:ilvl w:val="0"/>
          <w:numId w:val="28"/>
        </w:numPr>
      </w:pPr>
      <w:r>
        <w:t>repetir no duplica movimientos, efectos, XML, PDF ni recursos web;</w:t>
      </w:r>
    </w:p>
    <w:p>
      <w:pPr>
        <w:pStyle w:val="ListBullet"/>
        <w:numPr>
          <w:ilvl w:val="0"/>
          <w:numId w:val="28"/>
        </w:numPr>
      </w:pPr>
      <w:r>
        <w:t>errores y logs son útiles y no filtran secretos;</w:t>
      </w:r>
    </w:p>
    <w:p>
      <w:pPr>
        <w:pStyle w:val="ListBullet"/>
        <w:numPr>
          <w:ilvl w:val="0"/>
          <w:numId w:val="28"/>
        </w:numPr>
      </w:pPr>
      <w:r>
        <w:t>compila en plataformas afectadas y pasan pruebas específicas;</w:t>
      </w:r>
    </w:p>
    <w:p>
      <w:pPr>
        <w:pStyle w:val="ListBullet"/>
        <w:numPr>
          <w:ilvl w:val="0"/>
          <w:numId w:val="28"/>
        </w:numPr>
      </w:pPr>
      <w:r>
        <w:t xml:space="preserve">migraciones son idempotentes y </w:t>
      </w:r>
      <w:r>
        <w:rPr>
          <w:rFonts w:ascii="Consolas" w:hAnsi="Consolas" w:eastAsia="Consolas"/>
          <w:color w:val="1F4D78"/>
          <w:sz w:val="18"/>
          <w:shd w:fill="F2F5F8"/>
        </w:rPr>
        <w:t>factuzam_original.sql</w:t>
      </w:r>
      <w:r>
        <w:t xml:space="preserve"> permanece intacto;</w:t>
      </w:r>
    </w:p>
    <w:p>
      <w:pPr>
        <w:pStyle w:val="ListBullet"/>
        <w:numPr>
          <w:ilvl w:val="0"/>
          <w:numId w:val="28"/>
        </w:numPr>
      </w:pPr>
      <w:r>
        <w:t>puertas de capas, ISP, tamaños, estilo, SQL y transacciones no empeoran;</w:t>
      </w:r>
    </w:p>
    <w:p>
      <w:pPr>
        <w:pStyle w:val="ListBullet"/>
        <w:numPr>
          <w:ilvl w:val="0"/>
          <w:numId w:val="28"/>
        </w:numPr>
      </w:pPr>
      <w:r>
        <w:t>el manual y la matriz de fuentes reflejan el cambio.</w:t>
      </w:r>
    </w:p>
    <w:p>
      <w:bookmarkStart w:id="122" w:name="h_113"/>
      <w:pPr>
        <w:pStyle w:val="Heading1"/>
        <w:pageBreakBefore/>
      </w:pPr>
      <w:r>
        <w:t>Parte VII · Mantenimiento del conocimiento</w:t>
      </w:r>
      <w:bookmarkEnd w:id="122"/>
    </w:p>
    <w:p>
      <w:bookmarkStart w:id="123" w:name="h_114"/>
      <w:pPr>
        <w:pStyle w:val="Heading2"/>
      </w:pPr>
      <w:r>
        <w:t>25. Cómo actualizar este libro</w:t>
      </w:r>
      <w:bookmarkEnd w:id="123"/>
    </w:p>
    <w:p>
      <w:bookmarkStart w:id="124" w:name="h_115"/>
      <w:pPr>
        <w:pStyle w:val="Heading3"/>
      </w:pPr>
      <w:r>
        <w:t>25.1 Fuente canónica</w:t>
      </w:r>
      <w:bookmarkEnd w:id="124"/>
    </w:p>
    <w:p>
      <w:r>
        <w:rPr>
          <w:rFonts w:ascii="Consolas" w:hAnsi="Consolas" w:eastAsia="Consolas"/>
          <w:color w:val="1F4D78"/>
          <w:sz w:val="18"/>
          <w:shd w:fill="F2F5F8"/>
        </w:rPr>
        <w:t>Manual_del_programador_FACTUZAM.md</w:t>
      </w:r>
      <w:r>
        <w:t xml:space="preserve"> es la fuente editorial. </w:t>
      </w:r>
      <w:r>
        <w:rPr>
          <w:rFonts w:ascii="Consolas" w:hAnsi="Consolas" w:eastAsia="Consolas"/>
          <w:color w:val="1F4D78"/>
          <w:sz w:val="18"/>
          <w:shd w:fill="F2F5F8"/>
        </w:rPr>
        <w:t>FUENTES_Y_COBERTURA.md</w:t>
      </w:r>
      <w:r>
        <w:t xml:space="preserve"> es el registro automático de fuentes. El DOCX se genera con </w:t>
      </w:r>
      <w:r>
        <w:rPr>
          <w:rFonts w:ascii="Consolas" w:hAnsi="Consolas" w:eastAsia="Consolas"/>
          <w:color w:val="1F4D78"/>
          <w:sz w:val="18"/>
          <w:shd w:fill="F2F5F8"/>
        </w:rPr>
        <w:t>herramientas/generar_manual.py</w:t>
      </w:r>
      <w:r>
        <w:t>; no se edita a mano porque se perderían cambios en la siguiente compilación.</w:t>
      </w:r>
    </w:p>
    <w:p>
      <w:bookmarkStart w:id="125" w:name="h_116"/>
      <w:pPr>
        <w:pStyle w:val="Heading3"/>
      </w:pPr>
      <w:r>
        <w:t>25.2 Incorporar una decisión</w:t>
      </w:r>
      <w:bookmarkEnd w:id="125"/>
    </w:p>
    <w:p>
      <w:r>
        <w:t xml:space="preserve">Toda actualización indica fecha, revisión, estado y evidencia. Si reemplaza una decisión, conserva la anterior en </w:t>
      </w:r>
      <w:r>
        <w:rPr>
          <w:rFonts w:ascii="Consolas" w:hAnsi="Consolas" w:eastAsia="Consolas"/>
          <w:color w:val="1F4D78"/>
          <w:sz w:val="18"/>
          <w:shd w:fill="F2F5F8"/>
        </w:rPr>
        <w:t>archivo_historico</w:t>
      </w:r>
      <w:r>
        <w:t xml:space="preserve"> y explica la transición. Los nombres de interfaces se verifican contra el código; los recuentos se obtienen de scripts, no se copian de memoria.</w:t>
      </w:r>
    </w:p>
    <w:p>
      <w:bookmarkStart w:id="126" w:name="h_117"/>
      <w:pPr>
        <w:pStyle w:val="Heading3"/>
      </w:pPr>
      <w:r>
        <w:t>25.3 Cobertura</w:t>
      </w:r>
      <w:bookmarkEnd w:id="126"/>
    </w:p>
    <w:p>
      <w:r>
        <w:t>El generador exige exactamente 297 fuentes en esta edición y detiene la compilación si el inventario no coincide. En una edición posterior se actualizará ese control de manera deliberada, junto con la tabla de corpus/extensiones y las huellas. Una fuente puede informar varios capítulos, pero tiene una única fila primaria de trazabilidad.</w:t>
      </w:r>
    </w:p>
    <w:p>
      <w:r>
        <w:br w:type="page"/>
      </w:r>
    </w:p>
    <w:p>
      <w:bookmarkStart w:id="127" w:name="h_118"/>
      <w:pPr>
        <w:pStyle w:val="Heading2"/>
      </w:pPr>
      <w:r>
        <w:t>26. Glosario rápido</w:t>
      </w:r>
      <w:bookmarkEnd w:id="127"/>
    </w:p>
    <w:tbl>
      <w:tblPr>
        <w:tblStyle w:val="TableGrid"/>
        <w:tblW w:type="dxa" w:w="9360"/>
        <w:jc w:val="left"/>
        <w:tblLayout w:type="fixed"/>
        <w:tblLook w:firstColumn="1" w:firstRow="1" w:lastColumn="0" w:lastRow="0" w:noHBand="0" w:noVBand="1" w:val="04A0"/>
        <w:tblInd w:w="120" w:type="dxa"/>
        <w:tblBorders>
          <w:top w:val="single" w:sz="4" w:color="B7C9DC"/>
          <w:start w:val="single" w:sz="4" w:color="B7C9DC"/>
          <w:bottom w:val="single" w:sz="4" w:color="B7C9DC"/>
          <w:end w:val="single" w:sz="4" w:color="B7C9DC"/>
          <w:insideH w:val="single" w:sz="4" w:color="B7C9DC"/>
          <w:insideV w:val="single" w:sz="4" w:color="B7C9DC"/>
        </w:tblBorders>
      </w:tblPr>
      <w:tblGrid>
        <w:gridCol w:w="3000"/>
        <w:gridCol w:w="6360"/>
      </w:tblGrid>
      <w:tr>
        <w:trPr>
          <w:tblHeader w:val="true"/>
        </w:trPr>
        <w:tc>
          <w:tcPr>
            <w:tcW w:type="dxa" w:w="3000"/>
            <w:vAlign w:val="top"/>
            <w:shd w:fill="E8EEF5"/>
            <w:tcMar>
              <w:top w:w="80" w:type="dxa"/>
              <w:start w:w="120" w:type="dxa"/>
              <w:bottom w:w="80" w:type="dxa"/>
              <w:end w:w="120" w:type="dxa"/>
            </w:tcMar>
          </w:tcPr>
          <w:p>
            <w:pPr>
              <w:spacing w:after="40" w:line="252" w:lineRule="auto"/>
            </w:pPr>
            <w:r>
              <w:rPr>
                <w:b/>
                <w:color w:val="1F4D78"/>
                <w:sz w:val="18"/>
              </w:rPr>
              <w:t>Término</w:t>
            </w:r>
          </w:p>
        </w:tc>
        <w:tc>
          <w:tcPr>
            <w:tcW w:type="dxa" w:w="6360"/>
            <w:vAlign w:val="top"/>
            <w:shd w:fill="E8EEF5"/>
            <w:tcMar>
              <w:top w:w="80" w:type="dxa"/>
              <w:start w:w="120" w:type="dxa"/>
              <w:bottom w:w="80" w:type="dxa"/>
              <w:end w:w="120" w:type="dxa"/>
            </w:tcMar>
          </w:tcPr>
          <w:p>
            <w:pPr>
              <w:spacing w:after="40" w:line="252" w:lineRule="auto"/>
            </w:pPr>
            <w:r>
              <w:rPr>
                <w:b/>
                <w:color w:val="1F4D78"/>
                <w:sz w:val="18"/>
              </w:rPr>
              <w:t>Significado en Factuzam</w:t>
            </w:r>
          </w:p>
        </w:tc>
      </w:tr>
      <w:tr>
        <w:tc>
          <w:tcPr>
            <w:tcW w:type="dxa" w:w="3000"/>
            <w:vAlign w:val="top"/>
            <w:tcMar>
              <w:top w:w="80" w:type="dxa"/>
              <w:start w:w="120" w:type="dxa"/>
              <w:bottom w:w="80" w:type="dxa"/>
              <w:end w:w="120" w:type="dxa"/>
            </w:tcMar>
          </w:tcPr>
          <w:p>
            <w:pPr>
              <w:spacing w:after="40" w:line="252" w:lineRule="auto"/>
            </w:pPr>
            <w:r>
              <w:rPr>
                <w:sz w:val="18"/>
              </w:rPr>
              <w:t>Adaptador</w:t>
            </w:r>
          </w:p>
        </w:tc>
        <w:tc>
          <w:tcPr>
            <w:tcW w:type="dxa" w:w="6360"/>
            <w:vAlign w:val="top"/>
            <w:tcMar>
              <w:top w:w="80" w:type="dxa"/>
              <w:start w:w="120" w:type="dxa"/>
              <w:bottom w:w="80" w:type="dxa"/>
              <w:end w:w="120" w:type="dxa"/>
            </w:tcMar>
          </w:tcPr>
          <w:p>
            <w:pPr>
              <w:spacing w:after="40" w:line="252" w:lineRule="auto"/>
            </w:pPr>
            <w:r>
              <w:rPr>
                <w:sz w:val="18"/>
              </w:rPr>
              <w:t>Implementación ligada a VCL, UniDAC, FastReport, Windows o un servicio externo</w:t>
            </w:r>
          </w:p>
        </w:tc>
      </w:tr>
      <w:tr>
        <w:tc>
          <w:tcPr>
            <w:tcW w:type="dxa" w:w="3000"/>
            <w:vAlign w:val="top"/>
            <w:tcMar>
              <w:top w:w="80" w:type="dxa"/>
              <w:start w:w="120" w:type="dxa"/>
              <w:bottom w:w="80" w:type="dxa"/>
              <w:end w:w="120" w:type="dxa"/>
            </w:tcMar>
          </w:tcPr>
          <w:p>
            <w:pPr>
              <w:spacing w:after="40" w:line="252" w:lineRule="auto"/>
            </w:pPr>
            <w:r>
              <w:rPr>
                <w:sz w:val="18"/>
              </w:rPr>
              <w:t>BORRADOR</w:t>
            </w:r>
          </w:p>
        </w:tc>
        <w:tc>
          <w:tcPr>
            <w:tcW w:type="dxa" w:w="6360"/>
            <w:vAlign w:val="top"/>
            <w:tcMar>
              <w:top w:w="80" w:type="dxa"/>
              <w:start w:w="120" w:type="dxa"/>
              <w:bottom w:w="80" w:type="dxa"/>
              <w:end w:w="120" w:type="dxa"/>
            </w:tcMar>
          </w:tcPr>
          <w:p>
            <w:pPr>
              <w:spacing w:after="40" w:line="252" w:lineRule="auto"/>
            </w:pPr>
            <w:r>
              <w:rPr>
                <w:sz w:val="18"/>
              </w:rPr>
              <w:t>Estado editable anterior a consolidación/emisión</w:t>
            </w:r>
          </w:p>
        </w:tc>
      </w:tr>
      <w:tr>
        <w:tc>
          <w:tcPr>
            <w:tcW w:type="dxa" w:w="3000"/>
            <w:vAlign w:val="top"/>
            <w:tcMar>
              <w:top w:w="80" w:type="dxa"/>
              <w:start w:w="120" w:type="dxa"/>
              <w:bottom w:w="80" w:type="dxa"/>
              <w:end w:w="120" w:type="dxa"/>
            </w:tcMar>
          </w:tcPr>
          <w:p>
            <w:pPr>
              <w:spacing w:after="40" w:line="252" w:lineRule="auto"/>
            </w:pPr>
            <w:r>
              <w:rPr>
                <w:sz w:val="18"/>
              </w:rPr>
              <w:t>Composición</w:t>
            </w:r>
          </w:p>
        </w:tc>
        <w:tc>
          <w:tcPr>
            <w:tcW w:type="dxa" w:w="6360"/>
            <w:vAlign w:val="top"/>
            <w:tcMar>
              <w:top w:w="80" w:type="dxa"/>
              <w:start w:w="120" w:type="dxa"/>
              <w:bottom w:w="80" w:type="dxa"/>
              <w:end w:w="120" w:type="dxa"/>
            </w:tcMar>
          </w:tcPr>
          <w:p>
            <w:pPr>
              <w:spacing w:after="40" w:line="252" w:lineRule="auto"/>
            </w:pPr>
            <w:r>
              <w:rPr>
                <w:sz w:val="18"/>
              </w:rPr>
              <w:t>Lugar donde se crean y conectan interfaces e implementaciones</w:t>
            </w:r>
          </w:p>
        </w:tc>
      </w:tr>
      <w:tr>
        <w:tc>
          <w:tcPr>
            <w:tcW w:type="dxa" w:w="3000"/>
            <w:vAlign w:val="top"/>
            <w:tcMar>
              <w:top w:w="80" w:type="dxa"/>
              <w:start w:w="120" w:type="dxa"/>
              <w:bottom w:w="80" w:type="dxa"/>
              <w:end w:w="120" w:type="dxa"/>
            </w:tcMar>
          </w:tcPr>
          <w:p>
            <w:pPr>
              <w:spacing w:after="40" w:line="252" w:lineRule="auto"/>
            </w:pPr>
            <w:r>
              <w:rPr>
                <w:sz w:val="18"/>
              </w:rPr>
              <w:t>Documento</w:t>
            </w:r>
          </w:p>
        </w:tc>
        <w:tc>
          <w:tcPr>
            <w:tcW w:type="dxa" w:w="6360"/>
            <w:vAlign w:val="top"/>
            <w:tcMar>
              <w:top w:w="80" w:type="dxa"/>
              <w:start w:w="120" w:type="dxa"/>
              <w:bottom w:w="80" w:type="dxa"/>
              <w:end w:w="120" w:type="dxa"/>
            </w:tcMar>
          </w:tcPr>
          <w:p>
            <w:pPr>
              <w:spacing w:after="40" w:line="252" w:lineRule="auto"/>
            </w:pPr>
            <w:r>
              <w:rPr>
                <w:sz w:val="18"/>
              </w:rPr>
              <w:t>Pedido, albarán, factura, devolución, ticket y representaciones derivadas</w:t>
            </w:r>
          </w:p>
        </w:tc>
      </w:tr>
      <w:tr>
        <w:tc>
          <w:tcPr>
            <w:tcW w:type="dxa" w:w="3000"/>
            <w:vAlign w:val="top"/>
            <w:tcMar>
              <w:top w:w="80" w:type="dxa"/>
              <w:start w:w="120" w:type="dxa"/>
              <w:bottom w:w="80" w:type="dxa"/>
              <w:end w:w="120" w:type="dxa"/>
            </w:tcMar>
          </w:tcPr>
          <w:p>
            <w:pPr>
              <w:spacing w:after="40" w:line="252" w:lineRule="auto"/>
            </w:pPr>
            <w:r>
              <w:rPr>
                <w:sz w:val="18"/>
              </w:rPr>
              <w:t>DTO</w:t>
            </w:r>
          </w:p>
        </w:tc>
        <w:tc>
          <w:tcPr>
            <w:tcW w:type="dxa" w:w="6360"/>
            <w:vAlign w:val="top"/>
            <w:tcMar>
              <w:top w:w="80" w:type="dxa"/>
              <w:start w:w="120" w:type="dxa"/>
              <w:bottom w:w="80" w:type="dxa"/>
              <w:end w:w="120" w:type="dxa"/>
            </w:tcMar>
          </w:tcPr>
          <w:p>
            <w:pPr>
              <w:spacing w:after="40" w:line="252" w:lineRule="auto"/>
            </w:pPr>
            <w:r>
              <w:rPr>
                <w:sz w:val="18"/>
              </w:rPr>
              <w:t>Record de datos que cruza una frontera sin exponer componentes</w:t>
            </w:r>
          </w:p>
        </w:tc>
      </w:tr>
      <w:tr>
        <w:tc>
          <w:tcPr>
            <w:tcW w:type="dxa" w:w="3000"/>
            <w:vAlign w:val="top"/>
            <w:tcMar>
              <w:top w:w="80" w:type="dxa"/>
              <w:start w:w="120" w:type="dxa"/>
              <w:bottom w:w="80" w:type="dxa"/>
              <w:end w:w="120" w:type="dxa"/>
            </w:tcMar>
          </w:tcPr>
          <w:p>
            <w:pPr>
              <w:spacing w:after="40" w:line="252" w:lineRule="auto"/>
            </w:pPr>
            <w:r>
              <w:rPr>
                <w:sz w:val="18"/>
              </w:rPr>
              <w:t>Efecto</w:t>
            </w:r>
          </w:p>
        </w:tc>
        <w:tc>
          <w:tcPr>
            <w:tcW w:type="dxa" w:w="6360"/>
            <w:vAlign w:val="top"/>
            <w:tcMar>
              <w:top w:w="80" w:type="dxa"/>
              <w:start w:w="120" w:type="dxa"/>
              <w:bottom w:w="80" w:type="dxa"/>
              <w:end w:w="120" w:type="dxa"/>
            </w:tcMar>
          </w:tcPr>
          <w:p>
            <w:pPr>
              <w:spacing w:after="40" w:line="252" w:lineRule="auto"/>
            </w:pPr>
            <w:r>
              <w:rPr>
                <w:sz w:val="18"/>
              </w:rPr>
              <w:t>Vencimiento de cobro o pago asociado a un documento</w:t>
            </w:r>
          </w:p>
        </w:tc>
      </w:tr>
      <w:tr>
        <w:tc>
          <w:tcPr>
            <w:tcW w:type="dxa" w:w="3000"/>
            <w:vAlign w:val="top"/>
            <w:tcMar>
              <w:top w:w="80" w:type="dxa"/>
              <w:start w:w="120" w:type="dxa"/>
              <w:bottom w:w="80" w:type="dxa"/>
              <w:end w:w="120" w:type="dxa"/>
            </w:tcMar>
          </w:tcPr>
          <w:p>
            <w:pPr>
              <w:spacing w:after="40" w:line="252" w:lineRule="auto"/>
            </w:pPr>
            <w:r>
              <w:rPr>
                <w:sz w:val="18"/>
              </w:rPr>
              <w:t>Gate</w:t>
            </w:r>
          </w:p>
        </w:tc>
        <w:tc>
          <w:tcPr>
            <w:tcW w:type="dxa" w:w="6360"/>
            <w:vAlign w:val="top"/>
            <w:tcMar>
              <w:top w:w="80" w:type="dxa"/>
              <w:start w:w="120" w:type="dxa"/>
              <w:bottom w:w="80" w:type="dxa"/>
              <w:end w:w="120" w:type="dxa"/>
            </w:tcMar>
          </w:tcPr>
          <w:p>
            <w:pPr>
              <w:spacing w:after="40" w:line="252" w:lineRule="auto"/>
            </w:pPr>
            <w:r>
              <w:rPr>
                <w:sz w:val="18"/>
              </w:rPr>
              <w:t>Comprobación obligatoria antes de integrar</w:t>
            </w:r>
          </w:p>
        </w:tc>
      </w:tr>
      <w:tr>
        <w:tc>
          <w:tcPr>
            <w:tcW w:type="dxa" w:w="3000"/>
            <w:vAlign w:val="top"/>
            <w:tcMar>
              <w:top w:w="80" w:type="dxa"/>
              <w:start w:w="120" w:type="dxa"/>
              <w:bottom w:w="80" w:type="dxa"/>
              <w:end w:w="120" w:type="dxa"/>
            </w:tcMar>
          </w:tcPr>
          <w:p>
            <w:pPr>
              <w:spacing w:after="40" w:line="252" w:lineRule="auto"/>
            </w:pPr>
            <w:r>
              <w:rPr>
                <w:sz w:val="18"/>
              </w:rPr>
              <w:t>Idempotencia</w:t>
            </w:r>
          </w:p>
        </w:tc>
        <w:tc>
          <w:tcPr>
            <w:tcW w:type="dxa" w:w="6360"/>
            <w:vAlign w:val="top"/>
            <w:tcMar>
              <w:top w:w="80" w:type="dxa"/>
              <w:start w:w="120" w:type="dxa"/>
              <w:bottom w:w="80" w:type="dxa"/>
              <w:end w:w="120" w:type="dxa"/>
            </w:tcMar>
          </w:tcPr>
          <w:p>
            <w:pPr>
              <w:spacing w:after="40" w:line="252" w:lineRule="auto"/>
            </w:pPr>
            <w:r>
              <w:rPr>
                <w:sz w:val="18"/>
              </w:rPr>
              <w:t>Repetir la misma intención produce un único efecto lógico</w:t>
            </w:r>
          </w:p>
        </w:tc>
      </w:tr>
      <w:tr>
        <w:tc>
          <w:tcPr>
            <w:tcW w:type="dxa" w:w="3000"/>
            <w:vAlign w:val="top"/>
            <w:tcMar>
              <w:top w:w="80" w:type="dxa"/>
              <w:start w:w="120" w:type="dxa"/>
              <w:bottom w:w="80" w:type="dxa"/>
              <w:end w:w="120" w:type="dxa"/>
            </w:tcMar>
          </w:tcPr>
          <w:p>
            <w:pPr>
              <w:spacing w:after="40" w:line="252" w:lineRule="auto"/>
            </w:pPr>
            <w:r>
              <w:rPr>
                <w:sz w:val="18"/>
              </w:rPr>
              <w:t>PMP</w:t>
            </w:r>
          </w:p>
        </w:tc>
        <w:tc>
          <w:tcPr>
            <w:tcW w:type="dxa" w:w="6360"/>
            <w:vAlign w:val="top"/>
            <w:tcMar>
              <w:top w:w="80" w:type="dxa"/>
              <w:start w:w="120" w:type="dxa"/>
              <w:bottom w:w="80" w:type="dxa"/>
              <w:end w:w="120" w:type="dxa"/>
            </w:tcMar>
          </w:tcPr>
          <w:p>
            <w:pPr>
              <w:spacing w:after="40" w:line="252" w:lineRule="auto"/>
            </w:pPr>
            <w:r>
              <w:rPr>
                <w:sz w:val="18"/>
              </w:rPr>
              <w:t>Precio medio ponderado recalculado desde movimientos</w:t>
            </w:r>
          </w:p>
        </w:tc>
      </w:tr>
      <w:tr>
        <w:tc>
          <w:tcPr>
            <w:tcW w:type="dxa" w:w="3000"/>
            <w:vAlign w:val="top"/>
            <w:tcMar>
              <w:top w:w="80" w:type="dxa"/>
              <w:start w:w="120" w:type="dxa"/>
              <w:bottom w:w="80" w:type="dxa"/>
              <w:end w:w="120" w:type="dxa"/>
            </w:tcMar>
          </w:tcPr>
          <w:p>
            <w:pPr>
              <w:spacing w:after="40" w:line="252" w:lineRule="auto"/>
            </w:pPr>
            <w:r>
              <w:rPr>
                <w:sz w:val="18"/>
              </w:rPr>
              <w:t>Puerto</w:t>
            </w:r>
          </w:p>
        </w:tc>
        <w:tc>
          <w:tcPr>
            <w:tcW w:type="dxa" w:w="6360"/>
            <w:vAlign w:val="top"/>
            <w:tcMar>
              <w:top w:w="80" w:type="dxa"/>
              <w:start w:w="120" w:type="dxa"/>
              <w:bottom w:w="80" w:type="dxa"/>
              <w:end w:w="120" w:type="dxa"/>
            </w:tcMar>
          </w:tcPr>
          <w:p>
            <w:pPr>
              <w:spacing w:after="40" w:line="252" w:lineRule="auto"/>
            </w:pPr>
            <w:r>
              <w:rPr>
                <w:sz w:val="18"/>
              </w:rPr>
              <w:t>Interfaz que la aplicación usa para hablar con un adaptador</w:t>
            </w:r>
          </w:p>
        </w:tc>
      </w:tr>
      <w:tr>
        <w:tc>
          <w:tcPr>
            <w:tcW w:type="dxa" w:w="3000"/>
            <w:vAlign w:val="top"/>
            <w:tcMar>
              <w:top w:w="80" w:type="dxa"/>
              <w:start w:w="120" w:type="dxa"/>
              <w:bottom w:w="80" w:type="dxa"/>
              <w:end w:w="120" w:type="dxa"/>
            </w:tcMar>
          </w:tcPr>
          <w:p>
            <w:pPr>
              <w:spacing w:after="40" w:line="252" w:lineRule="auto"/>
            </w:pPr>
            <w:r>
              <w:rPr>
                <w:sz w:val="18"/>
              </w:rPr>
              <w:t>Ratchet</w:t>
            </w:r>
          </w:p>
        </w:tc>
        <w:tc>
          <w:tcPr>
            <w:tcW w:type="dxa" w:w="6360"/>
            <w:vAlign w:val="top"/>
            <w:tcMar>
              <w:top w:w="80" w:type="dxa"/>
              <w:start w:w="120" w:type="dxa"/>
              <w:bottom w:w="80" w:type="dxa"/>
              <w:end w:w="120" w:type="dxa"/>
            </w:tcMar>
          </w:tcPr>
          <w:p>
            <w:pPr>
              <w:spacing w:after="40" w:line="252" w:lineRule="auto"/>
            </w:pPr>
            <w:r>
              <w:rPr>
                <w:sz w:val="18"/>
              </w:rPr>
              <w:t>Umbral que permite deuda conocida pero impide empeorarla</w:t>
            </w:r>
          </w:p>
        </w:tc>
      </w:tr>
      <w:tr>
        <w:tc>
          <w:tcPr>
            <w:tcW w:type="dxa" w:w="3000"/>
            <w:vAlign w:val="top"/>
            <w:tcMar>
              <w:top w:w="80" w:type="dxa"/>
              <w:start w:w="120" w:type="dxa"/>
              <w:bottom w:w="80" w:type="dxa"/>
              <w:end w:w="120" w:type="dxa"/>
            </w:tcMar>
          </w:tcPr>
          <w:p>
            <w:pPr>
              <w:spacing w:after="40" w:line="252" w:lineRule="auto"/>
            </w:pPr>
            <w:r>
              <w:rPr>
                <w:sz w:val="18"/>
              </w:rPr>
              <w:t>UoW</w:t>
            </w:r>
          </w:p>
        </w:tc>
        <w:tc>
          <w:tcPr>
            <w:tcW w:type="dxa" w:w="6360"/>
            <w:vAlign w:val="top"/>
            <w:tcMar>
              <w:top w:w="80" w:type="dxa"/>
              <w:start w:w="120" w:type="dxa"/>
              <w:bottom w:w="80" w:type="dxa"/>
              <w:end w:w="120" w:type="dxa"/>
            </w:tcMar>
          </w:tcPr>
          <w:p>
            <w:pPr>
              <w:spacing w:after="40" w:line="252" w:lineRule="auto"/>
            </w:pPr>
            <w:r>
              <w:rPr>
                <w:sz w:val="18"/>
              </w:rPr>
              <w:t>Unidad de trabajo que confirma o revierte la invariante completa</w:t>
            </w:r>
          </w:p>
        </w:tc>
      </w:tr>
    </w:tbl>
    <w:p>
      <w:pPr>
        <w:spacing w:after="0"/>
      </w:pPr>
    </w:p>
    <w:p>
      <w:bookmarkStart w:id="128" w:name="h_119"/>
      <w:pPr>
        <w:pStyle w:val="Heading1"/>
        <w:pageBreakBefore/>
      </w:pPr>
      <w:r>
        <w:t>Anexo A · Lista rápida antes de tocar documentos</w:t>
      </w:r>
      <w:bookmarkEnd w:id="128"/>
    </w:p>
    <w:p>
      <w:pPr>
        <w:pStyle w:val="ListNumber"/>
        <w:numPr>
          <w:ilvl w:val="0"/>
          <w:numId w:val="29"/>
        </w:numPr>
      </w:pPr>
      <w:r>
        <w:t>Identificar tipo, sentido, serie, empresa, almacén y estado fiscal.</w:t>
      </w:r>
    </w:p>
    <w:p>
      <w:pPr>
        <w:pStyle w:val="ListNumber"/>
        <w:numPr>
          <w:ilvl w:val="0"/>
          <w:numId w:val="29"/>
        </w:numPr>
      </w:pPr>
      <w:r>
        <w:t>Localizar estrategia, aplicación/presentador, repositorios y composición.</w:t>
      </w:r>
    </w:p>
    <w:p>
      <w:pPr>
        <w:pStyle w:val="ListNumber"/>
        <w:numPr>
          <w:ilvl w:val="0"/>
          <w:numId w:val="29"/>
        </w:numPr>
      </w:pPr>
      <w:r>
        <w:t>Revisar propiedad de datasets, streams, interfaces y workers.</w:t>
      </w:r>
    </w:p>
    <w:p>
      <w:pPr>
        <w:pStyle w:val="ListNumber"/>
        <w:numPr>
          <w:ilvl w:val="0"/>
          <w:numId w:val="29"/>
        </w:numPr>
      </w:pPr>
      <w:r>
        <w:t>Enumerar movimientos, efectos, cola, XML, PDF e integraciones afectadas.</w:t>
      </w:r>
    </w:p>
    <w:p>
      <w:pPr>
        <w:pStyle w:val="ListNumber"/>
        <w:numPr>
          <w:ilvl w:val="0"/>
          <w:numId w:val="29"/>
        </w:numPr>
      </w:pPr>
      <w:r>
        <w:t>Definir transacción, bloqueo e idempotencia.</w:t>
      </w:r>
    </w:p>
    <w:p>
      <w:pPr>
        <w:pStyle w:val="ListNumber"/>
        <w:numPr>
          <w:ilvl w:val="0"/>
          <w:numId w:val="29"/>
        </w:numPr>
      </w:pPr>
      <w:r>
        <w:t>Ejecutar línea base de comprobadores antes de editar.</w:t>
      </w:r>
    </w:p>
    <w:p>
      <w:pPr>
        <w:pStyle w:val="ListNumber"/>
        <w:numPr>
          <w:ilvl w:val="0"/>
          <w:numId w:val="29"/>
        </w:numPr>
      </w:pPr>
      <w:r>
        <w:t>Implementar sin SQL en UI ni tecnología en contratos.</w:t>
      </w:r>
    </w:p>
    <w:p>
      <w:pPr>
        <w:pStyle w:val="ListNumber"/>
        <w:numPr>
          <w:ilvl w:val="0"/>
          <w:numId w:val="29"/>
        </w:numPr>
      </w:pPr>
      <w:r>
        <w:t>Probar repetición, concurrencia, rollback y reapertura/anulación.</w:t>
      </w:r>
    </w:p>
    <w:p>
      <w:pPr>
        <w:pStyle w:val="ListNumber"/>
        <w:numPr>
          <w:ilvl w:val="0"/>
          <w:numId w:val="29"/>
        </w:numPr>
      </w:pPr>
      <w:r>
        <w:t>Probar permisos, datos sensibles y logs.</w:t>
      </w:r>
    </w:p>
    <w:p>
      <w:pPr>
        <w:pStyle w:val="ListNumber"/>
        <w:numPr>
          <w:ilvl w:val="0"/>
          <w:numId w:val="29"/>
        </w:numPr>
      </w:pPr>
      <w:r>
        <w:t>Actualizar documentación y evidencia.</w:t>
      </w:r>
    </w:p>
    <w:p>
      <w:bookmarkStart w:id="129" w:name="h_120"/>
      <w:pPr>
        <w:pStyle w:val="Heading1"/>
        <w:pageBreakBefore/>
      </w:pPr>
      <w:r>
        <w:t>Anexo B · Fuentes, archivo y trazabilidad</w:t>
      </w:r>
      <w:bookmarkEnd w:id="129"/>
    </w:p>
    <w:p>
      <w:r>
        <w:t xml:space="preserve">Esta edición integra 10 Markdown de la raíz de PROD, cuatro de la raíz de APOYO y 283 documentos de </w:t>
      </w:r>
      <w:r>
        <w:rPr>
          <w:rFonts w:ascii="Consolas" w:hAnsi="Consolas" w:eastAsia="Consolas"/>
          <w:color w:val="1F4D78"/>
          <w:sz w:val="18"/>
          <w:shd w:fill="F2F5F8"/>
        </w:rPr>
        <w:t>DESARROLLOS EN CURSO</w:t>
      </w:r>
      <w:r>
        <w:t>: 259 Markdown, 23 textos y un PDF. No se deduplicó contenido automáticamente; los 259 Markdown de desarrollo tienen huellas distintas. Los planes y resultados de refactorización se conservaron como cronología, no como reglas acumulativas.</w:t>
      </w:r>
    </w:p>
    <w:p>
      <w:r>
        <w:t xml:space="preserve">Los originales se guardan bajo </w:t>
      </w:r>
      <w:r>
        <w:rPr>
          <w:rFonts w:ascii="Consolas" w:hAnsi="Consolas" w:eastAsia="Consolas"/>
          <w:color w:val="1F4D78"/>
          <w:sz w:val="18"/>
          <w:shd w:fill="F2F5F8"/>
        </w:rPr>
        <w:t>archivo_historico</w:t>
      </w:r>
      <w:r>
        <w:t xml:space="preserve"> con la misma ruta relativa. El manifiesto de migración registra origen, destino, tamaño y SHA-256. Fuera de </w:t>
      </w:r>
      <w:r>
        <w:rPr>
          <w:rFonts w:ascii="Consolas" w:hAnsi="Consolas" w:eastAsia="Consolas"/>
          <w:color w:val="1F4D78"/>
          <w:sz w:val="18"/>
          <w:shd w:fill="F2F5F8"/>
        </w:rPr>
        <w:t>manual programador</w:t>
      </w:r>
      <w:r>
        <w:t xml:space="preserve">, </w:t>
      </w:r>
      <w:r>
        <w:rPr>
          <w:rFonts w:ascii="Consolas" w:hAnsi="Consolas" w:eastAsia="Consolas"/>
          <w:color w:val="1F4D78"/>
          <w:sz w:val="18"/>
          <w:shd w:fill="F2F5F8"/>
        </w:rPr>
        <w:t>DESARROLLOS EN CURSO</w:t>
      </w:r>
      <w:r>
        <w:t xml:space="preserve"> queda reservado a scripts </w:t>
      </w:r>
      <w:r>
        <w:rPr>
          <w:rFonts w:ascii="Consolas" w:hAnsi="Consolas" w:eastAsia="Consolas"/>
          <w:color w:val="1F4D78"/>
          <w:sz w:val="18"/>
          <w:shd w:fill="F2F5F8"/>
        </w:rPr>
        <w:t>.sql</w:t>
      </w:r>
      <w:r>
        <w:t>.</w:t>
      </w:r>
    </w:p>
    <w:p>
      <w:r>
        <w:t xml:space="preserve">El registro exhaustivo aparece en el Anexo C del DOCX y en </w:t>
      </w:r>
      <w:r>
        <w:rPr>
          <w:rFonts w:ascii="Consolas" w:hAnsi="Consolas" w:eastAsia="Consolas"/>
          <w:color w:val="1F4D78"/>
          <w:sz w:val="18"/>
          <w:shd w:fill="F2F5F8"/>
        </w:rPr>
        <w:t>FUENTES_Y_COBERTURA.md</w:t>
      </w:r>
      <w:r>
        <w:t xml:space="preserve"> para búsqueda y comparación de huellas.</w:t>
      </w:r>
    </w:p>
    <w:p>
      <w:pPr>
        <w:pStyle w:val="Heading1"/>
        <w:pageBreakBefore/>
      </w:pPr>
      <w:r>
        <w:t>Anexo C · Registro completo de fuentes</w:t>
      </w:r>
    </w:p>
    <w:p>
      <w:r>
        <w:t>Las 297 fuentes se registran una sola vez. La ruta refleja su ubicación original antes del archivo. El SHA-256 permite comprobar que el traslado no alteró el contenido. Los documentos de resultados y planes se conservan como evidencia; no prevalecen sobre el código ni sobre las reglas vigentes.</w:t>
      </w:r>
    </w:p>
    <w:tbl>
      <w:tblPr>
        <w:tblStyle w:val="TableGrid"/>
        <w:tblW w:type="dxa" w:w="9360"/>
        <w:jc w:val="left"/>
        <w:tblLayout w:type="fixed"/>
        <w:tblLook w:firstColumn="1" w:firstRow="1" w:lastColumn="0" w:lastRow="0" w:noHBand="0" w:noVBand="1" w:val="04A0"/>
        <w:tblInd w:w="120" w:type="dxa"/>
        <w:tblBorders>
          <w:top w:val="single" w:sz="3" w:color="C9D5E1"/>
          <w:start w:val="single" w:sz="3" w:color="C9D5E1"/>
          <w:bottom w:val="single" w:sz="3" w:color="C9D5E1"/>
          <w:end w:val="single" w:sz="3" w:color="C9D5E1"/>
          <w:insideH w:val="single" w:sz="3" w:color="C9D5E1"/>
          <w:insideV w:val="single" w:sz="3" w:color="C9D5E1"/>
        </w:tblBorders>
      </w:tblPr>
      <w:tblGrid>
        <w:gridCol w:w="620"/>
        <w:gridCol w:w="4800"/>
        <w:gridCol w:w="1600"/>
        <w:gridCol w:w="2340"/>
      </w:tblGrid>
      <w:tr>
        <w:trPr>
          <w:tblHeader w:val="true"/>
        </w:trPr>
        <w:tc>
          <w:tcPr>
            <w:tcW w:type="dxa" w:w="620"/>
            <w:shd w:fill="E8EEF5"/>
            <w:tcMar>
              <w:top w:w="45" w:type="dxa"/>
              <w:start w:w="120" w:type="dxa"/>
              <w:bottom w:w="45" w:type="dxa"/>
              <w:end w:w="120" w:type="dxa"/>
            </w:tcMar>
          </w:tcPr>
          <w:p>
            <w:r>
              <w:rPr>
                <w:b/>
                <w:color w:val="1F4D78"/>
                <w:sz w:val="16"/>
              </w:rPr>
              <w:t>ID</w:t>
            </w:r>
          </w:p>
        </w:tc>
        <w:tc>
          <w:tcPr>
            <w:tcW w:type="dxa" w:w="4800"/>
            <w:shd w:fill="E8EEF5"/>
            <w:tcMar>
              <w:top w:w="45" w:type="dxa"/>
              <w:start w:w="120" w:type="dxa"/>
              <w:bottom w:w="45" w:type="dxa"/>
              <w:end w:w="120" w:type="dxa"/>
            </w:tcMar>
          </w:tcPr>
          <w:p>
            <w:r>
              <w:rPr>
                <w:b/>
                <w:color w:val="1F4D78"/>
                <w:sz w:val="16"/>
              </w:rPr>
              <w:t>Fuente original</w:t>
            </w:r>
          </w:p>
        </w:tc>
        <w:tc>
          <w:tcPr>
            <w:tcW w:type="dxa" w:w="1600"/>
            <w:shd w:fill="E8EEF5"/>
            <w:tcMar>
              <w:top w:w="45" w:type="dxa"/>
              <w:start w:w="120" w:type="dxa"/>
              <w:bottom w:w="45" w:type="dxa"/>
              <w:end w:w="120" w:type="dxa"/>
            </w:tcMar>
          </w:tcPr>
          <w:p>
            <w:r>
              <w:rPr>
                <w:b/>
                <w:color w:val="1F4D78"/>
                <w:sz w:val="16"/>
              </w:rPr>
              <w:t>Ciclo</w:t>
            </w:r>
          </w:p>
        </w:tc>
        <w:tc>
          <w:tcPr>
            <w:tcW w:type="dxa" w:w="2340"/>
            <w:shd w:fill="E8EEF5"/>
            <w:tcMar>
              <w:top w:w="45" w:type="dxa"/>
              <w:start w:w="120" w:type="dxa"/>
              <w:bottom w:w="45" w:type="dxa"/>
              <w:end w:w="120" w:type="dxa"/>
            </w:tcMar>
          </w:tcPr>
          <w:p>
            <w:r>
              <w:rPr>
                <w:b/>
                <w:color w:val="1F4D78"/>
                <w:sz w:val="16"/>
              </w:rPr>
              <w:t>Función</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AGENTS.md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Contexto de PROD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AVISOS_DE_TERCEROS.md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cumplimiento</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CONTRIBUTING.md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cumplimiento</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DEPENDENCIAS_Y_CICLO_DE_VIDA.md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Contexto de PROD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LIBRO_DE_ESTILO_BBDD.md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Norma técnica principal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LIBRO_DE_ESTILO_DELPHI.md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Norma técnica principal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LICENCIAS.md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cumplimiento</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MANUAL_SQL_PERFILES.md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Norma técnica principal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F009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README.md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Contexto de PROD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[PROD raíz] USO_DE_IA.md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cumplimiento</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[APOYO raíz] AGENTS.md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Contexto de APOYO</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[APOYO raíz] CLAUDE.md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Contexto de APOYO</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[APOYO raíz] PLAN_SOLID.md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Línea base histórica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[APOYO raíz] TAREAS_IA_SOLID.md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Norma/contexto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Estado operativo de referencia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16-validacion-funcional-prestashop-resultados-2026-08-14-continuacion.md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Integraciones, web, PrestaShop y MCP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16-validacion-funcional-prestashop-resultados-2026-08-14-puerta-a.md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Integraciones, web, PrestaShop y MCP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16-validacion-funcional-prestashop.md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Seguridad, permisos, usuarios y perfiles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albaran_compra_deposito.md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F019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albaran_compra_incorporar_existente.md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albaran_desde_pedido_anadir_existente.md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albaranes_compra.md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arqueo_caja.md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arqueo_historico_impresion.md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arqueo_niveles_familia.md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atributos_basicos.md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balance_almacen_sin_tallas.md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balance_almacen_tallas.md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bancos_empresa.md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F029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caja_devoluciones_vales_fix.md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caja_formas_pago.md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codigo_barras_ticket.md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ColumnSKUcxGrid/ColumnSKUcxGrid.md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ColumnSKUcxGrid/compras_columnas_sku.md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ColumnSKUcxGrid/tallashorped.md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compras_sesiones.md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desacoplar_excel_hojacalculo.md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Informes, impresión, Excel y traducciones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devoluciones_compra.md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DISENO_PDF_FACTURAS_LOTE.md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F039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efectos_remesas_compra.md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efectos_remesas_venta.md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empleados.md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Seguridad, permisos, usuarios y perfiles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etiquetas_articulos.md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etiquetas_articulos_ampliacion_runtime.md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extraccion_metodos_largos_resultados.md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facturae_e_document.md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facturas_compra.md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facturas_pdf_blob.md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Informes, impresión, Excel y traducciones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facturas_proforma_caja.md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F049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fix_caption_cantidad_artvin.md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Seguridad, permisos, usuarios y perfiles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fix_numeracion_retirada_arqueo.md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fotos_articulos.md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fotos_articulos_pruebas.md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fotos_nube_descarga.md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fotos_sesiones.md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indices_rendimiento.md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informe con tallas/balance almacen con tallas oda.pdf</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Informes, impresión, Excel y traducciones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informes_filtro_familias_arbol.md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informes_guias_ampliacion_runtime.md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Informes, impresión, Excel y traducciones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F059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inventario_escrituras_sql3_compras_sesiones.md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inventarios_retroactivos_pmp_plan.md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literales_traduccion_plan.md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Informes, impresión, Excel y traducciones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mariadb_12_3_2_colacion_jira.md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mcp/README.md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mcp/requirements.txt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Integraciones, web, PrestaShop y MCP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menu_caja.md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migracion_compras.md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migracion_entorno.md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migracion_facturas.md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F069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migracion_fotos.md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migracion_movimientos.md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migracion_servicios_web_php.md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Integraciones, web, PrestaShop y MCP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migracion_ventas.md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modificaciones_parser.md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movimientos_ventas_articulos.md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normalizar_colaciones_spanish.md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operaciones_historico_impresion.md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optimizar_caja_stock_pivotado.md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optimizar_recalculo_pmp.md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F079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pagos_depositos_historico_impresion.md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pedidos_albaranes_compra_pivote_default_horizontal.md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pedidos_compra.md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pedidos_compra_reparar_cantidades.md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permisos.md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Seguridad, permisos, usuarios y perfiles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permisos_arbol.md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Seguridad, permisos, usuarios y perfiles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plan_expansion_catalogo_sql.md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plan_pruebas_funcionales_completo.md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plan_srp_clases_dios_libreria.md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prestashop_multidestino.md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Integraciones, web, PrestaShop y MCP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F089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propiedades_por_unidad.md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PROPUESTA_GESTION_TRANSACCIONAL_SAVEPOINTS.md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proveedores_compras_defectos.md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pruebas_albaran_compra_retroactivo.md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pruebas_compras_resultados.md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pruebas_costes_pmp_inventarios/pruebas_costes_pmp_inventarios.md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pruebas_costes_pmp_inventarios/resultados_pruebas_2026-07-05.md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pruebas_funcionales_resultados.md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pruebas_multialmacen_pmp.md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pruebas_sesiones/pruebas_sesiones.md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F099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pruebas_ui_resultados.md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PruebasAuditoriaFase5/INFORME_PRUEBAS.md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PruebasConexionesFase1/INFORME_PRUEBAS.md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PruebasConexionesFase2/INFORME_PRUEBAS.md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PruebasConexionesFase3/INFORME_PRUEBAS.md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PruebasConexionesFase4/INFORME_PRUEBAS.md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PruebasConexionesFase7/INFORME_PRUEBAS.md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PruebasConexionGlobalFase11A/INFORME_PRUEBAS.md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PruebasConexionGlobalFase11A/resultado_compilacion.txt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PruebasConexionGlobalFase11A/resultado_pruebas.txt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F109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PruebasConexionGlobalFase11A/resultado_reversion.txt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PruebasConexionGlobalFase11B1/INFORME_PRUEBAS.md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PruebasConexionGlobalFase11B1/resultado_compilacion.txt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PruebasConexionGlobalFase11C/INFORME_PRUEBAS.md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PruebasConexionGlobalFase11C/resultado_compilacion.txt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PruebasConexionGlobalFase11D/INFORME_PRUEBAS.md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PruebasConexionGlobalFase11D/resultado_compilacion.txt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PruebasContextoSesionFase10A/INFORME_PRUEBAS.md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PruebasContextoSesionFase10B/INFORME_PRUEBAS.md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PruebasContextoSesionFase10C/INFORME_PRUEBAS.md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F119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PruebasContextoSesionFase10D/INFORME_PRUEBAS.md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PruebasContextoSesionFase8/INFORME_PRUEBAS.md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PruebasFiltrosFase9/INFORME_PRUEBAS.md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PruebasHojaCalculoFase0/INFORME_PRUEBAS.md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PruebasHojaCalculoFase1/INFORME_PRUEBAS.md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PruebasHojaCalculoFase2/INFORME_PRUEBAS.md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PruebasHojaCalculoFase3/INFORME_PRUEBAS.md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PruebasMonitorSQLFase6/INFORME_PRUEBAS.md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PruebasParametrosFase12_0/LINEA_BASE.md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PruebasParametrosFase12_0/resultado_compilacion.txt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F129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PruebasParametrosFase12A/INFORME_PRUEBAS.md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PruebasParametrosFase12A/resultado_compilacion.txt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PruebasParametrosFase12A/resultado_pruebas.txt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PruebasParametrosFase12A/resultado_regresion.txt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PruebasParametrosFase12B/INFORME_PRUEBAS.md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PruebasParametrosFase12B/resultado_compilacion.txt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PruebasParametrosFase12B/resultado_pruebas.txt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PruebasParametrosFase12C/INFORME_PRUEBAS.md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PruebasParametrosFase12C/resultado_compilacion.txt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PruebasParametrosFase12C/resultado_pruebas.txt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F139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PruebasParametrosFase12D/INFORME_PRUEBAS.md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PruebasParametrosFase12D/PLAN_PRUEBAS_5_8.md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PruebasParametrosFase12D/resultado_build_release_win64.txt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PruebasParametrosFase12D/resultado_compilacion.txt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PruebasParametrosFase12D/resultado_linea_base_5_8.txt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PruebasParametrosFase12D/resultado_pruebas.txt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PruebasPerfilesFase9/INFORME_PRUEBAS.md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Seguridad, permisos, usuarios y perfiles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PruebasPermisos/INFORME_PRUEBAS.md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Seguridad, permisos, usuarios y perfiles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publicacion_librerias_fiscales_github.md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Fiscalidad y facturación electrónica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recuento_inventarios_app.md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F149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recuento_inventarios_php.md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refactorizacion_bloqueA_resultados.md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refactorizacion_capas_inlib_unidata_resultados.md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refactorizacion_estado.md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refactorizacion_fase0_fase1_plan.md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refactorizacion_fase0_pruebas.md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refactorizacion_fase1_bloque1_pruebas.md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refactorizacion_fase1_bloque1_resultados.md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refactorizacion_fase1_bloque2_resultados.md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refactorizacion_fase1_bloque3_resultados.md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F159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refactorizacion_fase1_bloque4_resultados.md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refactorizacion_fase2_albaranes_movimientos_resultados.md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refactorizacion_fase2_articulos_variaciones_resultados.md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refactorizacion_fase2_bloque1_resultados.md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refactorizacion_fase2_bloque2_resultados.md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refactorizacion_fase2_bloque3_resultados.md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refactorizacion_fase2_bloque4_resultados.md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refactorizacion_fase2_devoluciones_compra_movimientos_resultados.md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refactorizacion_fase2_exportaciones_resultados.md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refactorizacion_fase2_facturas_lecturas_resultados.md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F169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refactorizacion_fase2_fotos_resultados.md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refactorizacion_fase2_grid_pivote_compra_resultados.md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refactorizacion_fase2_pedidos_compra_resultados.md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refactorizacion_fase2_ventas_ws_json_resultados.md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refactorizacion_fase2_verifactu_cola_resultados.md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Fiscalidad y facturación electrónica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refactorizacion_fase2b_capas_resultados.md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refactorizacion_fase3_auditoria_metadatos.md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refactorizacion_fase3_bloque1_resultados.md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refactorizacion_fase3_bloque2_resultados.md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refactorizacion_fase3_bloque3_resultados.md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F179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refactorizacion_fase3_bloque4_resultados.md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refactorizacion_fase3_bloque5_resultados.md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refactorizacion_fase3_bloque6_resultados.md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refactorizacion_fase3_f1_compras_sesiones_resultados.md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refactorizacion_fase3_f2_facturas_cobros_resultados.md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refactorizacion_fase3_f2_facturas_consolidacion_resultados.md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refactorizacion_fase3_f2_facturas_estado_fiscal_resultados.md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refactorizacion_fase3_f2_facturas_operacion_fiscal_resultados.md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refactorizacion_fase3_f3_opecaja_cierre_helpers_resultados.md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refactorizacion_fase3_f3_opecaja_resultados.md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F189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refactorizacion_fase3_f4_articulos_resultados.md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refactorizacion_fase3_f5_stockconsulta_resultados.md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refactorizacion_fase3_opecaja_preparacion_articulo_resultados.md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refactorizacion_fase4_isp_inyeccion_resultados.md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refactorizacion_fase4_resultados.md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refactorizacion_fase5_ocp_documentos_resultados.md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refactorizacion_fase5_resultados.md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refactorizacion_fase6_revision.md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F199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refactorizacion_fase6ab_resultados.md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refactorizacion_fase6ac_resultados.md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refactorizacion_fase6ad_resultados.md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refactorizacion_fase6ae_resultados.md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refactorizacion_fase6af_resultados.md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refactorizacion_fase6ag_resultados.md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refactorizacion_fase6ah_resultados.md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refactorizacion_fase6ai_resultados.md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refactorizacion_fase6aj_resultados.md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refactorizacion_fase6ak_resultados.md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F209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refactorizacion_fase6al_resultados.md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refactorizacion_fase6am_resultados.md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refactorizacion_fase6an_resultados.md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refactorizacion_fase6ao_resultados.md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refactorizacion_fase6ap_resultados.md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refactorizacion_fase6aq_resultados.md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refactorizacion_fase6ar_resultados.md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refactorizacion_fase6at_resultados.md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refactorizacion_fase6au_resultados.md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F219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refactorizacion_fase6av_resultados.md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refactorizacion_fase6b_resultados.md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refactorizacion_fase6c_resultados.md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refactorizacion_fase6d_resultados.md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refactorizacion_fase6e_resultados.md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refactorizacion_fase6f_resultados.md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refactorizacion_fase6g_resultados.md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refactorizacion_fase6h_resultados.md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refactorizacion_fase6i_resultados.md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refactorizacion_fase6j_resultados.md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F229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refactorizacion_fase6k_resultados.md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refactorizacion_fase6l_resultados.md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refactorizacion_fase6m_resultados.md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refactorizacion_fase6n_resultados.md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refactorizacion_fase6o_resultados.md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refactorizacion_fase6p_resultados.md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refactorizacion_fase6q_resultados.md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refactorizacion_fase6r_resultados.md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refactorizacion_fase6t_resultados.md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F239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refactorizacion_fase6u_resultados.md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refactorizacion_fase6v_resultados.md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refactorizacion_fase6w_resultados.md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Seguridad, permisos, usuarios y perfiles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refactorizacion_fase6x_resultados.md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refactorizacion_fase6y_resultados.md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refactorizacion_fase6z_resultados.md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refactorizacion_fase7_rendimiento_resultados.md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refactorizacion_fase_sql0_resultados.md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refactorizacion_fase_sql1_resultados.md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refactorizacion_fase_sql2_1_resultados.md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F249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refactorizacion_fase_sql2_2_resultados.md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refactorizacion_fase_sql2_3a_resultados.md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refactorizacion_fase_sql2_3b1_resultados.md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refactorizacion_fase_sql2_3b2_resultados.md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refactorizacion_fase_sql2_3c_resultados.md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refactorizacion_fase_sql2_3d_resultados.md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refactorizacion_fase_sql3_1a_resultados.md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refactorizacion_fase_sql3_1b_resultados.md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refactorizacion_fase_sql3_1c_resultados.md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refactorizacion_pendiente.md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F259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refactorizacion_plan_pendiente.md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Plan o diseño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refactorizacion_srp_grid_pivote_compra_resultados.md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refactorizacion_srp_librerias_c1_c7_resultados.md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refactorizacion_srp_librerias_l0_resultados.md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Gobierno y arquitectura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refactorizacion_srp_librerias_t1_t6_resultados.md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refactorizacion_srp_librerias_v1_v5_resultados.md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refactorizacion_srp_unidata_pedidos_compra_operaciones_resultados.md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renombrado_identificadores.md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restriccion_usuario_emp_alm_caja.md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restriccion_usuario_emp_alm_caja_pruebas.md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F269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retirada_conexion_global.md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retirada_parametros_globales.md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series_ejercicio_natural.md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series_por_almacen.md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Compras, proveedores y pagos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sku_base_articulo.md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sku_color_texto_proveedor.md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sku_descripcion_color.md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soporte_errores_web.md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Integraciones, web, PrestaShop y MCP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STOCKPIVOTADOANTIGUO.txt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stocks_acumulados.md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Inventario, stock, movimientos y PMP</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F279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tabla_fza_pedidos.txt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tarifas_fecha_aplicacion_descuento.md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TestPerformanceConn/README.md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traspasos_caja.md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trinquetes_graduales_estilo_resultados.md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Evidencia/histórico</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Pruebas y calidad</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unidades_medida.md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Validarimpresora.txt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Informes, impresión, Excel y traducciones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ventas_ws.md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verifactu_cola.md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Fiscalidad y facturación electrónica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F288</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verifactu_cola_pruebas.md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F289</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verifactu_importetotal_irpf.md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F290</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verifactu_modos_estados_borradores.md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Fiscalidad y facturación electrónica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F291</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verifactu_no_verifactu_firma_xades.md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Fiscalidad y facturación electrónica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F292</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verifactu_no_verifactu_pruebas.md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Fiscalidad y facturación electrónica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F293</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verifactu_operacion_intracom.md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Fiscalidad y facturación electrónica</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F294</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verifactu_rebu.md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F295</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verifactu_resolucion_incidencias.md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Ventas, facturación, caja y traspasos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F296</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vi_articulos_tarifas_optimizada.md</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Artículos, SKU, atributos, fotos y tarifas</w:t>
            </w:r>
          </w:p>
        </w:tc>
      </w:tr>
      <w:tr>
        <w:tc>
          <w:tcPr>
            <w:tcW w:type="dxa" w:w="620"/>
            <w:vAlign w:val="top"/>
            <w:tcMar>
              <w:top w:w="45" w:type="dxa"/>
              <w:start w:w="120" w:type="dxa"/>
              <w:bottom w:w="45" w:type="dxa"/>
              <w:end w:w="120" w:type="dxa"/>
            </w:tcMar>
          </w:tcPr>
          <w:p>
            <w:pPr>
              <w:spacing w:after="0" w:line="240" w:lineRule="auto"/>
            </w:pPr>
            <w:r>
              <w:rPr>
                <w:rFonts w:ascii="Calibri" w:hAnsi="Calibri" w:eastAsia="Calibri"/>
                <w:sz w:val="14"/>
              </w:rPr>
              <w:t>F297</w:t>
            </w:r>
          </w:p>
        </w:tc>
        <w:tc>
          <w:tcPr>
            <w:tcW w:type="dxa" w:w="4800"/>
            <w:vAlign w:val="top"/>
            <w:tcMar>
              <w:top w:w="45" w:type="dxa"/>
              <w:start w:w="120" w:type="dxa"/>
              <w:bottom w:w="45" w:type="dxa"/>
              <w:end w:w="120" w:type="dxa"/>
            </w:tcMar>
          </w:tcPr>
          <w:p>
            <w:pPr>
              <w:spacing w:after="0" w:line="240" w:lineRule="auto"/>
            </w:pPr>
            <w:r>
              <w:rPr>
                <w:rFonts w:ascii="Calibri" w:hAnsi="Calibri" w:eastAsia="Calibri"/>
                <w:sz w:val="14"/>
              </w:rPr>
              <w:t>[DESARROLLOS EN CURSO] working unnestable nets.txt</w:t>
            </w:r>
          </w:p>
        </w:tc>
        <w:tc>
          <w:tcPr>
            <w:tcW w:type="dxa" w:w="1600"/>
            <w:vAlign w:val="top"/>
            <w:tcMar>
              <w:top w:w="45" w:type="dxa"/>
              <w:start w:w="120" w:type="dxa"/>
              <w:bottom w:w="45" w:type="dxa"/>
              <w:end w:w="120" w:type="dxa"/>
            </w:tcMar>
          </w:tcPr>
          <w:p>
            <w:pPr>
              <w:spacing w:after="0" w:line="240" w:lineRule="auto"/>
            </w:pPr>
            <w:r>
              <w:rPr>
                <w:rFonts w:ascii="Calibri" w:hAnsi="Calibri" w:eastAsia="Calibri"/>
                <w:sz w:val="14"/>
              </w:rPr>
              <w:t>Guía o especificación</w:t>
            </w:r>
          </w:p>
        </w:tc>
        <w:tc>
          <w:tcPr>
            <w:tcW w:type="dxa" w:w="2340"/>
            <w:vAlign w:val="top"/>
            <w:tcMar>
              <w:top w:w="45" w:type="dxa"/>
              <w:start w:w="120" w:type="dxa"/>
              <w:bottom w:w="45" w:type="dxa"/>
              <w:end w:w="120" w:type="dxa"/>
            </w:tcMar>
          </w:tcPr>
          <w:p>
            <w:pPr>
              <w:spacing w:after="0" w:line="240" w:lineRule="auto"/>
            </w:pPr>
            <w:r>
              <w:rPr>
                <w:rFonts w:ascii="Calibri" w:hAnsi="Calibri" w:eastAsia="Calibri"/>
                <w:sz w:val="14"/>
              </w:rPr>
              <w:t>Migraciones, esquema y rendimiento SQL</w:t>
            </w:r>
          </w:p>
        </w:tc>
      </w:tr>
    </w:tbl>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6666"/>
        <w:sz w:val="17"/>
      </w:rPr>
      <w:t xml:space="preserve">Edición consolidada · 23 de agosto de 2026   |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666666"/>
        <w:sz w:val="17"/>
      </w:rPr>
      <w:t>FACTUZAM  |  Manual del programador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start="540" w:hanging="270"/>
      </w:pPr>
      <w:rPr>
        <w:rFonts w:ascii="Calibri" w:hAnsi="Calibri"/>
      </w:rPr>
    </w:lvl>
    <w:lvl w:ilvl="1">
      <w:start w:val="1"/>
      <w:numFmt w:val="bullet"/>
      <w:lvlText w:val="–"/>
      <w:suff w:val="tab"/>
      <w:pPr>
        <w:tabs>
          <w:tab w:val="num" w:pos="900"/>
        </w:tabs>
        <w:ind w:start="900" w:hanging="270"/>
      </w:pPr>
      <w:rPr>
        <w:rFonts w:ascii="Calibri" w:hAnsi="Calibri"/>
      </w:rPr>
    </w:lvl>
    <w:lvl w:ilvl="2">
      <w:start w:val="1"/>
      <w:numFmt w:val="bullet"/>
      <w:lvlText w:val="–"/>
      <w:suff w:val="tab"/>
      <w:pPr>
        <w:tabs>
          <w:tab w:val="num" w:pos="1260"/>
        </w:tabs>
        <w:ind w:start="1260" w:hanging="270"/>
      </w:pPr>
      <w:rPr>
        <w:rFonts w:ascii="Calibri" w:hAnsi="Calibri"/>
      </w:rPr>
    </w:lvl>
  </w:abstractNum>
  <w:abstractNum w:abstractNumId="10">
    <w:multiLevelType w:val="multilevel"/>
    <w:lvl w:ilvl="0">
      <w:start w:val="1"/>
      <w:numFmt w:val="decimal"/>
      <w:lvlText w:val="%1."/>
      <w:suff w:val="tab"/>
      <w:pPr>
        <w:tabs>
          <w:tab w:val="num" w:pos="540"/>
        </w:tabs>
        <w:ind w:start="540" w:hanging="270"/>
      </w:pPr>
      <w:rPr>
        <w:rFonts w:ascii="Calibri" w:hAnsi="Calibri"/>
      </w:rPr>
    </w:lvl>
    <w:lvl w:ilvl="1">
      <w:start w:val="1"/>
      <w:numFmt w:val="decimal"/>
      <w:lvlText w:val="%2."/>
      <w:suff w:val="tab"/>
      <w:pPr>
        <w:tabs>
          <w:tab w:val="num" w:pos="900"/>
        </w:tabs>
        <w:ind w:start="900" w:hanging="270"/>
      </w:pPr>
      <w:rPr>
        <w:rFonts w:ascii="Calibri" w:hAnsi="Calibri"/>
      </w:rPr>
    </w:lvl>
    <w:lvl w:ilvl="2">
      <w:start w:val="1"/>
      <w:numFmt w:val="decimal"/>
      <w:lvlText w:val="%3."/>
      <w:suff w:val="tab"/>
      <w:pPr>
        <w:tabs>
          <w:tab w:val="num" w:pos="1260"/>
        </w:tabs>
        <w:ind w:start="1260" w:hanging="270"/>
      </w:pPr>
      <w:rPr>
        <w:rFonts w:ascii="Calibri" w:hAnsi="Calibri"/>
      </w:rPr>
    </w:lvl>
  </w:abstractNum>
  <w:num w:numId="10">
    <w:abstractNumId w:val="9"/>
    <w:lvlOverride w:ilvl="0">
      <w:startOverride w:val="1"/>
    </w:lvlOverride>
    <w:lvlOverride w:ilvl="1">
      <w:startOverride w:val="1"/>
    </w:lvlOverride>
    <w:lvlOverride w:ilvl="2">
      <w:startOverride w:val="1"/>
    </w:lvlOverride>
  </w:num>
  <w:num w:numId="11">
    <w:abstractNumId w:val="10"/>
    <w:lvlOverride w:ilvl="0">
      <w:startOverride w:val="1"/>
    </w:lvlOverride>
    <w:lvlOverride w:ilvl="1">
      <w:startOverride w:val="1"/>
    </w:lvlOverride>
    <w:lvlOverride w:ilvl="2">
      <w:startOverride w:val="1"/>
    </w:lvlOverride>
  </w:num>
  <w:num w:numId="12">
    <w:abstractNumId w:val="9"/>
    <w:lvlOverride w:ilvl="0">
      <w:startOverride w:val="1"/>
    </w:lvlOverride>
    <w:lvlOverride w:ilvl="1">
      <w:startOverride w:val="1"/>
    </w:lvlOverride>
    <w:lvlOverride w:ilvl="2">
      <w:startOverride w:val="1"/>
    </w:lvlOverride>
  </w:num>
  <w:num w:numId="13">
    <w:abstractNumId w:val="9"/>
    <w:lvlOverride w:ilvl="0">
      <w:startOverride w:val="1"/>
    </w:lvlOverride>
    <w:lvlOverride w:ilvl="1">
      <w:startOverride w:val="1"/>
    </w:lvlOverride>
    <w:lvlOverride w:ilvl="2">
      <w:startOverride w:val="1"/>
    </w:lvlOverride>
  </w:num>
  <w:num w:numId="14">
    <w:abstractNumId w:val="9"/>
    <w:lvlOverride w:ilvl="0">
      <w:startOverride w:val="1"/>
    </w:lvlOverride>
    <w:lvlOverride w:ilvl="1">
      <w:startOverride w:val="1"/>
    </w:lvlOverride>
    <w:lvlOverride w:ilvl="2">
      <w:startOverride w:val="1"/>
    </w:lvlOverride>
  </w:num>
  <w:num w:numId="15">
    <w:abstractNumId w:val="9"/>
    <w:lvlOverride w:ilvl="0">
      <w:startOverride w:val="1"/>
    </w:lvlOverride>
    <w:lvlOverride w:ilvl="1">
      <w:startOverride w:val="1"/>
    </w:lvlOverride>
    <w:lvlOverride w:ilvl="2">
      <w:startOverride w:val="1"/>
    </w:lvlOverride>
  </w:num>
  <w:num w:numId="16">
    <w:abstractNumId w:val="9"/>
    <w:lvlOverride w:ilvl="0">
      <w:startOverride w:val="1"/>
    </w:lvlOverride>
    <w:lvlOverride w:ilvl="1">
      <w:startOverride w:val="1"/>
    </w:lvlOverride>
    <w:lvlOverride w:ilvl="2">
      <w:startOverride w:val="1"/>
    </w:lvlOverride>
  </w:num>
  <w:num w:numId="17">
    <w:abstractNumId w:val="10"/>
    <w:lvlOverride w:ilvl="0">
      <w:startOverride w:val="1"/>
    </w:lvlOverride>
    <w:lvlOverride w:ilvl="1">
      <w:startOverride w:val="1"/>
    </w:lvlOverride>
    <w:lvlOverride w:ilvl="2">
      <w:startOverride w:val="1"/>
    </w:lvlOverride>
  </w:num>
  <w:num w:numId="18">
    <w:abstractNumId w:val="9"/>
    <w:lvlOverride w:ilvl="0">
      <w:startOverride w:val="1"/>
    </w:lvlOverride>
    <w:lvlOverride w:ilvl="1">
      <w:startOverride w:val="1"/>
    </w:lvlOverride>
    <w:lvlOverride w:ilvl="2">
      <w:startOverride w:val="1"/>
    </w:lvlOverride>
  </w:num>
  <w:num w:numId="19">
    <w:abstractNumId w:val="10"/>
    <w:lvlOverride w:ilvl="0">
      <w:startOverride w:val="1"/>
    </w:lvlOverride>
    <w:lvlOverride w:ilvl="1">
      <w:startOverride w:val="1"/>
    </w:lvlOverride>
    <w:lvlOverride w:ilvl="2">
      <w:startOverride w:val="1"/>
    </w:lvlOverride>
  </w:num>
  <w:num w:numId="20">
    <w:abstractNumId w:val="9"/>
    <w:lvlOverride w:ilvl="0">
      <w:startOverride w:val="1"/>
    </w:lvlOverride>
    <w:lvlOverride w:ilvl="1">
      <w:startOverride w:val="1"/>
    </w:lvlOverride>
    <w:lvlOverride w:ilvl="2">
      <w:startOverride w:val="1"/>
    </w:lvlOverride>
  </w:num>
  <w:num w:numId="21">
    <w:abstractNumId w:val="9"/>
    <w:lvlOverride w:ilvl="0">
      <w:startOverride w:val="1"/>
    </w:lvlOverride>
    <w:lvlOverride w:ilvl="1">
      <w:startOverride w:val="1"/>
    </w:lvlOverride>
    <w:lvlOverride w:ilvl="2">
      <w:startOverride w:val="1"/>
    </w:lvlOverride>
  </w:num>
  <w:num w:numId="22">
    <w:abstractNumId w:val="10"/>
    <w:lvlOverride w:ilvl="0">
      <w:startOverride w:val="1"/>
    </w:lvlOverride>
    <w:lvlOverride w:ilvl="1">
      <w:startOverride w:val="1"/>
    </w:lvlOverride>
    <w:lvlOverride w:ilvl="2">
      <w:startOverride w:val="1"/>
    </w:lvlOverride>
  </w:num>
  <w:num w:numId="23">
    <w:abstractNumId w:val="9"/>
    <w:lvlOverride w:ilvl="0">
      <w:startOverride w:val="1"/>
    </w:lvlOverride>
    <w:lvlOverride w:ilvl="1">
      <w:startOverride w:val="1"/>
    </w:lvlOverride>
    <w:lvlOverride w:ilvl="2">
      <w:startOverride w:val="1"/>
    </w:lvlOverride>
  </w:num>
  <w:num w:numId="24">
    <w:abstractNumId w:val="9"/>
    <w:lvlOverride w:ilvl="0">
      <w:startOverride w:val="1"/>
    </w:lvlOverride>
    <w:lvlOverride w:ilvl="1">
      <w:startOverride w:val="1"/>
    </w:lvlOverride>
    <w:lvlOverride w:ilvl="2">
      <w:startOverride w:val="1"/>
    </w:lvlOverride>
  </w:num>
  <w:num w:numId="25">
    <w:abstractNumId w:val="9"/>
    <w:lvlOverride w:ilvl="0">
      <w:startOverride w:val="1"/>
    </w:lvlOverride>
    <w:lvlOverride w:ilvl="1">
      <w:startOverride w:val="1"/>
    </w:lvlOverride>
    <w:lvlOverride w:ilvl="2">
      <w:startOverride w:val="1"/>
    </w:lvlOverride>
  </w:num>
  <w:num w:numId="26">
    <w:abstractNumId w:val="9"/>
    <w:lvlOverride w:ilvl="0">
      <w:startOverride w:val="1"/>
    </w:lvlOverride>
    <w:lvlOverride w:ilvl="1">
      <w:startOverride w:val="1"/>
    </w:lvlOverride>
    <w:lvlOverride w:ilvl="2">
      <w:startOverride w:val="1"/>
    </w:lvlOverride>
  </w:num>
  <w:num w:numId="27">
    <w:abstractNumId w:val="9"/>
    <w:lvlOverride w:ilvl="0">
      <w:startOverride w:val="1"/>
    </w:lvlOverride>
    <w:lvlOverride w:ilvl="1">
      <w:startOverride w:val="1"/>
    </w:lvlOverride>
    <w:lvlOverride w:ilvl="2">
      <w:startOverride w:val="1"/>
    </w:lvlOverride>
  </w:num>
  <w:num w:numId="28">
    <w:abstractNumId w:val="9"/>
    <w:lvlOverride w:ilvl="0">
      <w:startOverride w:val="1"/>
    </w:lvlOverride>
    <w:lvlOverride w:ilvl="1">
      <w:startOverride w:val="1"/>
    </w:lvlOverride>
    <w:lvlOverride w:ilvl="2">
      <w:startOverride w:val="1"/>
    </w:lvlOverride>
  </w:num>
  <w:num w:numId="29">
    <w:abstractNumId w:val="1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52" w:lineRule="auto"/>
      <w:ind w:left="259" w:right="115"/>
    </w:pPr>
    <w:rPr>
      <w:rFonts w:ascii="Consolas" w:hAnsi="Consolas" w:eastAsia="Consolas"/>
      <w:color w:val="1F4D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programador FACTUZAM</dc:title>
  <dc:subject>Arquitectura, contratos, datos, flujos de negocio y operación</dc:subject>
  <dc:creator/>
  <cp:keywords>FACTUZAM, Delphi, MariaDB, arquitectura, manual del programador</cp:keywords>
  <dc:description>Edición consolidada a partir del corpus técnico local.</dc:description>
  <cp:lastModifiedBy/>
  <cp:revision>1</cp:revision>
  <dcterms:created xsi:type="dcterms:W3CDTF">2013-12-23T23:15:00Z</dcterms:created>
  <dcterms:modified xsi:type="dcterms:W3CDTF">2013-12-23T23:15:00Z</dcterms:modified>
  <cp:category/>
</cp:coreProperties>
</file>