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Mono" w:hAnsi="Liberation Mono"/>
          <w:sz w:val="20"/>
          <w:szCs w:val="20"/>
        </w:rPr>
      </w:pPr>
      <w:r>
        <w:rPr>
          <w:sz w:val="20"/>
          <w:szCs w:val="20"/>
        </w:rPr>
        <w:t>We would like to than</w:t>
      </w:r>
      <w:r>
        <w:rPr>
          <w:sz w:val="20"/>
          <w:szCs w:val="20"/>
        </w:rPr>
        <w:t>k</w:t>
      </w:r>
      <w:r>
        <w:rPr>
          <w:sz w:val="20"/>
          <w:szCs w:val="20"/>
        </w:rPr>
        <w:t xml:space="preserve"> the reviewers for their insightful and constructive suggestions. Our reply to reviewers is below (with original reviewer comments in blue).</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I have one major comment</w:t>
      </w:r>
    </w:p>
    <w:p>
      <w:pPr>
        <w:pStyle w:val="PreformattedText"/>
        <w:rPr>
          <w:rFonts w:ascii="Liberation Mono" w:hAnsi="Liberation Mono"/>
          <w:color w:val="0000FF"/>
          <w:sz w:val="20"/>
          <w:szCs w:val="20"/>
        </w:rPr>
      </w:pPr>
      <w:r>
        <w:rPr>
          <w:color w:val="0000FF"/>
          <w:sz w:val="20"/>
          <w:szCs w:val="20"/>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Liberation Mono" w:hAnsi="Liberation Mono"/>
          <w:sz w:val="20"/>
          <w:szCs w:val="20"/>
        </w:rPr>
      </w:pPr>
      <w:r>
        <w:rPr>
          <w:sz w:val="20"/>
          <w:szCs w:val="20"/>
        </w:rPr>
      </w:r>
    </w:p>
    <w:p>
      <w:pPr>
        <w:pStyle w:val="PreformattedText"/>
        <w:rPr/>
      </w:pPr>
      <w:r>
        <w:rPr>
          <w:sz w:val="20"/>
          <w:szCs w:val="20"/>
        </w:rPr>
        <w:t xml:space="preserve">We have made a number of amendments in relation to the reviewer's major comment. Firstly, we have changed the mentioned sentence that uses the phrase "complex scenes" to give a few specific examples of the behaviours in which these cells have been implicated, in order not to imply that the nature of the encodings is understood. We have additionally introduced a new figure which shows an illustration of how the R4d neurons respond to </w:t>
      </w:r>
      <w:r>
        <w:rPr>
          <w:sz w:val="20"/>
          <w:szCs w:val="20"/>
        </w:rPr>
        <w:t>natural images</w:t>
      </w:r>
      <w:r>
        <w:rPr>
          <w:sz w:val="20"/>
          <w:szCs w:val="20"/>
        </w:rPr>
        <w:t xml:space="preserve">, indicating that there would be useful information given about the positions of the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w:t>
      </w:r>
      <w:r>
        <w:rPr>
          <w:sz w:val="20"/>
          <w:szCs w:val="20"/>
        </w:rPr>
        <w:t>Therefore, in addition to the figure</w:t>
      </w:r>
      <w:r>
        <w:rPr>
          <w:sz w:val="20"/>
          <w:szCs w:val="20"/>
        </w:rPr>
        <w:t xml:space="preserve"> we have added an extra section to the discussion, which, among other points, mentions limitations of the current study in terms of the stimuli used (including a discussion of motion parallax).</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Minor comments on the text: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3, 4th line from the bottom: add 'the' before 'direction' or reorganise the end of this sentence for clarity</w:t>
      </w:r>
    </w:p>
    <w:p>
      <w:pPr>
        <w:pStyle w:val="PreformattedText"/>
        <w:rPr>
          <w:rFonts w:ascii="Liberation Mono" w:hAnsi="Liberation Mono"/>
          <w:color w:val="0000FF"/>
          <w:sz w:val="20"/>
          <w:szCs w:val="20"/>
        </w:rPr>
      </w:pPr>
      <w:r>
        <w:rPr>
          <w:color w:val="0000FF"/>
          <w:sz w:val="20"/>
          <w:szCs w:val="20"/>
        </w:rPr>
        <w:t>Page 7, 3rd line from the top: add 'B' to (Figure 2) for clarity</w:t>
      </w:r>
    </w:p>
    <w:p>
      <w:pPr>
        <w:pStyle w:val="PreformattedText"/>
        <w:rPr>
          <w:rFonts w:ascii="Liberation Mono" w:hAnsi="Liberation Mono"/>
          <w:color w:val="0000FF"/>
          <w:sz w:val="20"/>
          <w:szCs w:val="20"/>
        </w:rPr>
      </w:pPr>
      <w:r>
        <w:rPr>
          <w:color w:val="0000FF"/>
          <w:sz w:val="20"/>
          <w:szCs w:val="20"/>
        </w:rPr>
        <w:t>Page 7, 3rd line from the bottom: add 't' to 'though'</w:t>
      </w:r>
    </w:p>
    <w:p>
      <w:pPr>
        <w:pStyle w:val="PreformattedText"/>
        <w:rPr>
          <w:rFonts w:ascii="Liberation Mono" w:hAnsi="Liberation Mono"/>
          <w:color w:val="0000FF"/>
          <w:sz w:val="20"/>
          <w:szCs w:val="20"/>
        </w:rPr>
      </w:pPr>
      <w:r>
        <w:rPr>
          <w:color w:val="0000FF"/>
          <w:sz w:val="20"/>
          <w:szCs w:val="20"/>
        </w:rPr>
        <w:t>Page 14, 6th line after the heading: there is a word missing here 'Each point on the is initially...'</w:t>
      </w:r>
    </w:p>
    <w:p>
      <w:pPr>
        <w:pStyle w:val="PreformattedText"/>
        <w:rPr>
          <w:rFonts w:ascii="Liberation Mono" w:hAnsi="Liberation Mono"/>
          <w:color w:val="0000FF"/>
          <w:sz w:val="20"/>
          <w:szCs w:val="20"/>
        </w:rPr>
      </w:pPr>
      <w:r>
        <w:rPr>
          <w:color w:val="0000FF"/>
          <w:sz w:val="20"/>
          <w:szCs w:val="20"/>
        </w:rPr>
        <w:t>Page 22, Figure 1 legend: it would be helpful to the reader if it were made explicit that the blue crosses are in 1A rather than 1B</w:t>
      </w:r>
    </w:p>
    <w:p>
      <w:pPr>
        <w:pStyle w:val="PreformattedText"/>
        <w:rPr>
          <w:rFonts w:ascii="Liberation Mono" w:hAnsi="Liberation Mono"/>
          <w:color w:val="0000FF"/>
          <w:sz w:val="20"/>
          <w:szCs w:val="20"/>
        </w:rPr>
      </w:pPr>
      <w:r>
        <w:rPr>
          <w:color w:val="0000FF"/>
          <w:sz w:val="20"/>
          <w:szCs w:val="20"/>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Liberation Mono" w:hAnsi="Liberation Mono"/>
          <w:sz w:val="20"/>
          <w:szCs w:val="20"/>
        </w:rPr>
      </w:pPr>
      <w:r>
        <w:rPr>
          <w:sz w:val="20"/>
          <w:szCs w:val="20"/>
        </w:rPr>
      </w:r>
    </w:p>
    <w:p>
      <w:pPr>
        <w:pStyle w:val="PreformattedText"/>
        <w:rPr>
          <w:rFonts w:ascii="Liberation Mono" w:hAnsi="Liberation Mono"/>
          <w:sz w:val="20"/>
          <w:szCs w:val="20"/>
        </w:rPr>
      </w:pPr>
      <w:r>
        <w:rPr>
          <w:sz w:val="20"/>
          <w:szCs w:val="20"/>
        </w:rPr>
        <w:t>All minor corrections were carried out.</w:t>
      </w:r>
    </w:p>
    <w:p>
      <w:pPr>
        <w:pStyle w:val="PreformattedText"/>
        <w:rPr>
          <w:rFonts w:ascii="Liberation Mono" w:hAnsi="Liberation Mono"/>
          <w:sz w:val="20"/>
          <w:szCs w:val="20"/>
        </w:rPr>
      </w:pPr>
      <w:r>
        <w:rPr>
          <w:sz w:val="20"/>
          <w:szCs w:val="20"/>
        </w:rPr>
      </w:r>
    </w:p>
    <w:p>
      <w:pPr>
        <w:pStyle w:val="PreformattedText"/>
        <w:rPr>
          <w:rFonts w:ascii="Liberation Mono" w:hAnsi="Liberation Mono"/>
          <w:color w:val="0000FF"/>
          <w:sz w:val="20"/>
          <w:szCs w:val="20"/>
        </w:rPr>
      </w:pPr>
      <w:r>
        <w:rPr>
          <w:color w:val="0000FF"/>
          <w:sz w:val="20"/>
          <w:szCs w:val="20"/>
        </w:rPr>
        <w:t>Reviewer #2: Neuronal coding in the visual system of Drosophila melanogaster: How do small neural populations support visually guided behaviours?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General Comments:</w:t>
      </w:r>
    </w:p>
    <w:p>
      <w:pPr>
        <w:pStyle w:val="PreformattedText"/>
        <w:rPr>
          <w:rFonts w:ascii="Liberation Mono" w:hAnsi="Liberation Mono"/>
          <w:color w:val="0000FF"/>
          <w:sz w:val="20"/>
          <w:szCs w:val="20"/>
        </w:rPr>
      </w:pPr>
      <w:r>
        <w:rPr>
          <w:color w:val="0000FF"/>
          <w:sz w:val="20"/>
          <w:szCs w:val="20"/>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pPr>
      <w:r>
        <w:rPr>
          <w:color w:val="00000A"/>
          <w:sz w:val="20"/>
          <w:szCs w:val="20"/>
        </w:rPr>
        <w:t xml:space="preserve">There appears to be some confusion here. We are modelling the data in Seelig and Jayaraman's 2013 paper, which looked at the visual receptive fields of ring neurons cf. their 2015 paper which looked at </w:t>
      </w:r>
      <w:r>
        <w:rPr>
          <w:color w:val="00000A"/>
          <w:sz w:val="20"/>
          <w:szCs w:val="20"/>
        </w:rPr>
        <w:t>a ring attractor circuit in the ellipsoid body</w:t>
      </w:r>
      <w:r>
        <w:rPr>
          <w:color w:val="00000A"/>
          <w:sz w:val="20"/>
          <w:szCs w:val="20"/>
        </w:rPr>
        <w:t xml:space="preserve"> (both in Nature). We have, however, added a section in the discussion </w:t>
      </w:r>
      <w:r>
        <w:rPr>
          <w:color w:val="00000A"/>
          <w:sz w:val="20"/>
          <w:szCs w:val="20"/>
        </w:rPr>
        <w:t>which discusses our modelling in the context of</w:t>
      </w:r>
      <w:r>
        <w:rPr>
          <w:color w:val="00000A"/>
          <w:sz w:val="20"/>
          <w:szCs w:val="20"/>
        </w:rPr>
        <w:t xml:space="preserve"> central complex organisation. </w:t>
      </w:r>
      <w:r>
        <w:rPr>
          <w:color w:val="00000A"/>
          <w:sz w:val="20"/>
          <w:szCs w:val="20"/>
        </w:rPr>
        <w:t>This brings together the papers and talks about the inputs to ring neurons and their role in the ring attractor etc.</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TextBody"/>
        <w:rPr>
          <w:rFonts w:ascii="Liberation Mono" w:hAnsi="Liberation Mono"/>
          <w:color w:val="00000A"/>
          <w:sz w:val="20"/>
          <w:szCs w:val="20"/>
        </w:rPr>
      </w:pPr>
      <w:r>
        <w:rPr>
          <w:rFonts w:ascii="Liberation Mono" w:hAnsi="Liberation Mono"/>
          <w:color w:val="00000A"/>
          <w:sz w:val="20"/>
          <w:szCs w:val="20"/>
          <w:highlight w:val="yellow"/>
        </w:rPr>
        <w:t>Seelig and Jayaraman verified the RFs with the standard white noise stimuli technique (their refs 37,41). This is now mentioned in the text.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Liberation Mono" w:hAnsi="Liberation Mono"/>
          <w:color w:val="0000FF"/>
          <w:sz w:val="20"/>
          <w:szCs w:val="20"/>
        </w:rPr>
      </w:pPr>
      <w:r>
        <w:rPr>
          <w:color w:val="0000FF"/>
          <w:sz w:val="20"/>
          <w:szCs w:val="20"/>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Liberation Mono" w:hAnsi="Liberation Mono"/>
          <w:color w:val="0000FF"/>
          <w:sz w:val="20"/>
          <w:szCs w:val="20"/>
        </w:rPr>
      </w:pPr>
      <w:r>
        <w:rPr>
          <w:color w:val="0000FF"/>
          <w:sz w:val="20"/>
          <w:szCs w:val="20"/>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Liberation Mono" w:hAnsi="Liberation Mono"/>
          <w:color w:val="00000A"/>
          <w:sz w:val="20"/>
          <w:szCs w:val="20"/>
          <w:u w:val="none"/>
        </w:rPr>
      </w:pPr>
      <w:r>
        <w:rPr>
          <w:color w:val="00000A"/>
          <w:sz w:val="20"/>
          <w:szCs w:val="20"/>
          <w:u w:val="none"/>
        </w:rPr>
      </w:r>
    </w:p>
    <w:p>
      <w:pPr>
        <w:pStyle w:val="Normal"/>
        <w:rPr/>
      </w:pPr>
      <w:r>
        <w:rPr>
          <w:rFonts w:ascii="Liberation Mono" w:hAnsi="Liberation Mono"/>
          <w:color w:val="00000A"/>
          <w:sz w:val="20"/>
          <w:szCs w:val="20"/>
          <w:u w:val="none"/>
        </w:rPr>
        <w:t xml:space="preserve">We have now made </w:t>
      </w:r>
      <w:r>
        <w:rPr>
          <w:rFonts w:ascii="Liberation Mono" w:hAnsi="Liberation Mono"/>
          <w:color w:val="00000A"/>
          <w:sz w:val="20"/>
          <w:szCs w:val="20"/>
          <w:u w:val="none"/>
        </w:rPr>
        <w:t>discussed our choice of</w:t>
      </w:r>
      <w:r>
        <w:rPr>
          <w:rFonts w:ascii="Liberation Mono" w:hAnsi="Liberation Mono"/>
          <w:color w:val="00000A"/>
          <w:sz w:val="20"/>
          <w:szCs w:val="20"/>
          <w:u w:val="none"/>
        </w:rPr>
        <w:t xml:space="preserve"> the rotational image difference function in the methods. </w:t>
      </w:r>
      <w:r>
        <w:rPr>
          <w:rFonts w:ascii="Liberation Mono" w:hAnsi="Liberation Mono"/>
          <w:color w:val="00000A"/>
          <w:sz w:val="20"/>
          <w:szCs w:val="20"/>
          <w:u w:val="none"/>
        </w:rPr>
        <w:t>W</w:t>
      </w:r>
      <w:r>
        <w:rPr>
          <w:rFonts w:ascii="Liberation Mono" w:hAnsi="Liberation Mono"/>
          <w:color w:val="00000A"/>
          <w:sz w:val="20"/>
          <w:szCs w:val="20"/>
          <w:u w:val="none"/>
        </w:rPr>
        <w:t xml:space="preserve">e have not cited Dewar et al. as we </w:t>
      </w:r>
      <w:r>
        <w:rPr>
          <w:rFonts w:ascii="Liberation Mono" w:hAnsi="Liberation Mono"/>
          <w:color w:val="00000A"/>
          <w:sz w:val="20"/>
          <w:szCs w:val="20"/>
          <w:u w:val="none"/>
        </w:rPr>
        <w:t xml:space="preserve">did not look </w:t>
      </w:r>
      <w:r>
        <w:rPr>
          <w:rFonts w:ascii="Liberation Mono" w:hAnsi="Liberation Mono"/>
          <w:color w:val="00000A"/>
          <w:sz w:val="20"/>
          <w:szCs w:val="20"/>
          <w:u w:val="none"/>
        </w:rPr>
        <w:t xml:space="preserve">at place homing in this work and so we felt the connection was a little tenuous. We did previously carry out some </w:t>
      </w:r>
      <w:r>
        <w:rPr>
          <w:rFonts w:ascii="Liberation Mono" w:hAnsi="Liberation Mono"/>
          <w:color w:val="00000A"/>
          <w:sz w:val="20"/>
          <w:szCs w:val="20"/>
          <w:u w:val="none"/>
        </w:rPr>
        <w:t>different</w:t>
      </w:r>
      <w:r>
        <w:rPr>
          <w:rFonts w:ascii="Liberation Mono" w:hAnsi="Liberation Mono"/>
          <w:color w:val="00000A"/>
          <w:sz w:val="20"/>
          <w:szCs w:val="20"/>
          <w:u w:val="none"/>
        </w:rPr>
        <w:t xml:space="preserve"> modelling work looking at </w:t>
      </w:r>
      <w:r>
        <w:rPr>
          <w:rFonts w:ascii="Liberation Mono" w:hAnsi="Liberation Mono"/>
          <w:color w:val="00000A"/>
          <w:sz w:val="20"/>
          <w:szCs w:val="20"/>
          <w:u w:val="none"/>
        </w:rPr>
        <w:t xml:space="preserve">homing </w:t>
      </w:r>
      <w:r>
        <w:rPr>
          <w:rFonts w:ascii="Liberation Mono" w:hAnsi="Liberation Mono"/>
          <w:color w:val="00000A"/>
          <w:sz w:val="20"/>
          <w:szCs w:val="20"/>
          <w:u w:val="none"/>
        </w:rPr>
        <w:t xml:space="preserve">that made use of the ring neuron RFs </w:t>
      </w:r>
      <w:r>
        <w:rPr>
          <w:rFonts w:ascii="Liberation Mono" w:hAnsi="Liberation Mono"/>
          <w:color w:val="00000A"/>
          <w:sz w:val="20"/>
          <w:szCs w:val="20"/>
          <w:u w:val="none"/>
        </w:rPr>
        <w:t xml:space="preserve">(Dewar et al., Navigation-specific coding in the visual system of Drosophila, Biosystems, 2015) </w:t>
      </w:r>
      <w:r>
        <w:rPr>
          <w:rFonts w:ascii="Liberation Mono" w:hAnsi="Liberation Mono"/>
          <w:color w:val="00000A"/>
          <w:sz w:val="20"/>
          <w:szCs w:val="20"/>
          <w:u w:val="none"/>
        </w:rPr>
        <w:t xml:space="preserve">and this is mentioned in the text. We discuss visual navigation in the new section </w:t>
      </w:r>
      <w:r>
        <w:rPr>
          <w:rFonts w:ascii="Liberation Mono" w:hAnsi="Liberation Mono"/>
          <w:color w:val="00000A"/>
          <w:sz w:val="20"/>
          <w:szCs w:val="20"/>
          <w:u w:val="none"/>
        </w:rPr>
        <w:t>of</w:t>
      </w:r>
      <w:r>
        <w:rPr>
          <w:rFonts w:ascii="Liberation Mono" w:hAnsi="Liberation Mono"/>
          <w:color w:val="00000A"/>
          <w:sz w:val="20"/>
          <w:szCs w:val="20"/>
          <w:u w:val="none"/>
        </w:rPr>
        <w:t xml:space="preserve"> the discussion, in the context of the more complex visually guided behaviours of which we know insects are capable. </w:t>
      </w:r>
      <w:r>
        <w:rPr>
          <w:rFonts w:ascii="Liberation Mono" w:hAnsi="Liberation Mono"/>
          <w:color w:val="00000A"/>
          <w:sz w:val="20"/>
          <w:szCs w:val="20"/>
          <w:u w:val="none"/>
        </w:rPr>
        <w:t xml:space="preserve">In this section, we </w:t>
      </w:r>
      <w:r>
        <w:rPr>
          <w:rFonts w:ascii="Liberation Mono" w:hAnsi="Liberation Mono"/>
          <w:color w:val="00000A"/>
          <w:sz w:val="20"/>
          <w:szCs w:val="20"/>
          <w:u w:val="none"/>
        </w:rPr>
        <w:t xml:space="preserve">additionally link it to previous work on active vision and </w:t>
      </w:r>
      <w:r>
        <w:rPr>
          <w:rFonts w:ascii="Liberation Mono" w:hAnsi="Liberation Mono"/>
          <w:color w:val="00000A"/>
          <w:sz w:val="20"/>
          <w:szCs w:val="20"/>
          <w:u w:val="none"/>
        </w:rPr>
        <w:t>pattern recognition (e.g. Horridge). We also now mention that discrimination capabilities depend on training method – thank you for this suggestion.</w:t>
      </w:r>
    </w:p>
    <w:p>
      <w:pPr>
        <w:pStyle w:val="PreformattedText"/>
        <w:rPr>
          <w:rFonts w:ascii="Liberation Mono" w:hAnsi="Liberation Mono"/>
          <w:color w:val="00000A"/>
          <w:sz w:val="20"/>
          <w:szCs w:val="20"/>
          <w:u w:val="none"/>
        </w:rPr>
      </w:pPr>
      <w:r>
        <w:rPr>
          <w:color w:val="00000A"/>
          <w:sz w:val="20"/>
          <w:szCs w:val="20"/>
          <w:u w:val="none"/>
        </w:rPr>
      </w:r>
    </w:p>
    <w:p>
      <w:pPr>
        <w:pStyle w:val="PreformattedText"/>
        <w:rPr>
          <w:rFonts w:ascii="Liberation Mono" w:hAnsi="Liberation Mono"/>
          <w:color w:val="00000A"/>
          <w:sz w:val="20"/>
          <w:szCs w:val="20"/>
          <w:u w:val="none"/>
        </w:rPr>
      </w:pPr>
      <w:r>
        <w:rPr>
          <w:color w:val="00000A"/>
          <w:sz w:val="20"/>
          <w:szCs w:val="20"/>
          <w:u w:val="none"/>
        </w:rPr>
        <w:t>Data showing a boost in discriminability for certain pattern pairs with the addition of extra RFs, which was not previously shown, now appears as two new panels in Fig. 2.</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Specific Comments:</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4 (Results, first paragraph): The author should give an intuitive explanation for the use of average filters. The sentence ‘Though this averaging … we examine’ is not justified properly.</w:t>
      </w:r>
    </w:p>
    <w:p>
      <w:pPr>
        <w:pStyle w:val="PreformattedText"/>
        <w:rPr/>
      </w:pPr>
      <w:r>
        <w:rPr>
          <w:color w:val="00000A"/>
          <w:sz w:val="20"/>
          <w:szCs w:val="20"/>
        </w:rPr>
        <w:t xml:space="preserve">Justification for averaging added to text. </w:t>
      </w:r>
      <w:r>
        <w:rPr>
          <w:color w:val="00000A"/>
          <w:sz w:val="20"/>
          <w:szCs w:val="20"/>
        </w:rPr>
        <w:t>See also final point.</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Liberation Mono" w:hAnsi="Liberation Mono"/>
          <w:color w:val="00000A"/>
          <w:sz w:val="20"/>
          <w:szCs w:val="20"/>
        </w:rPr>
      </w:pPr>
      <w:r>
        <w:rPr>
          <w:color w:val="00000A"/>
          <w:sz w:val="20"/>
          <w:szCs w:val="20"/>
        </w:rPr>
        <w:t>It is true that the choice of difference metric (r.m.s. difference) was somewhat arbitrary, though we didn't select this measure because it performs better! We have added a comment about this to the methods section.</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13 (Discussion, Do flies recognise patterns?, paragraph 3): The author used we in ‘… we have shown that the information ...’ although referring to published work from different authors, reference #2 previously</w:t>
      </w:r>
    </w:p>
    <w:p>
      <w:pPr>
        <w:pStyle w:val="PreformattedText"/>
        <w:rPr>
          <w:rFonts w:ascii="Liberation Mono" w:hAnsi="Liberation Mono"/>
          <w:color w:val="00000A"/>
          <w:sz w:val="20"/>
          <w:szCs w:val="20"/>
        </w:rPr>
      </w:pPr>
      <w:r>
        <w:rPr>
          <w:color w:val="00000A"/>
          <w:sz w:val="20"/>
          <w:szCs w:val="20"/>
        </w:rPr>
        <w:t>corrected</w:t>
      </w:r>
    </w:p>
    <w:p>
      <w:pPr>
        <w:pStyle w:val="PreformattedText"/>
        <w:rPr>
          <w:rFonts w:ascii="Liberation Mono" w:hAnsi="Liberation Mono"/>
          <w:color w:val="0000FF"/>
          <w:sz w:val="20"/>
          <w:szCs w:val="20"/>
        </w:rPr>
      </w:pPr>
      <w:r>
        <w:rPr>
          <w:color w:val="0000FF"/>
          <w:sz w:val="20"/>
          <w:szCs w:val="20"/>
        </w:rPr>
      </w:r>
    </w:p>
    <w:p>
      <w:pPr>
        <w:pStyle w:val="PreformattedText"/>
        <w:rPr>
          <w:rFonts w:ascii="Liberation Mono" w:hAnsi="Liberation Mono"/>
          <w:color w:val="0000FF"/>
          <w:sz w:val="20"/>
          <w:szCs w:val="20"/>
        </w:rPr>
      </w:pPr>
      <w:r>
        <w:rPr>
          <w:color w:val="0000FF"/>
          <w:sz w:val="20"/>
          <w:szCs w:val="20"/>
        </w:rPr>
        <w:t>Page 14 (Materials and methods, Turning visual receptive field data into visual filters). The authors should ask Seeling and Jayaraman for their original data instead of extracting values from figures for better precision and clarity.</w:t>
      </w:r>
    </w:p>
    <w:p>
      <w:pPr>
        <w:pStyle w:val="PreformattedText"/>
        <w:rPr/>
      </w:pPr>
      <w:r>
        <w:rPr>
          <w:color w:val="0000FF"/>
          <w:sz w:val="20"/>
          <w:szCs w:val="20"/>
        </w:rPr>
        <w:t>Responses to individual comments are listed below, using the reviewer's original numbering system.</w:t>
        <w:br/>
      </w:r>
      <w:r>
        <w:rPr>
          <w:color w:val="00000A"/>
          <w:sz w:val="20"/>
          <w:szCs w:val="20"/>
        </w:rPr>
        <w:t xml:space="preserve">We have not obtained the original data for the Rfs. </w:t>
      </w:r>
      <w:r>
        <w:rPr>
          <w:color w:val="00000A"/>
          <w:sz w:val="20"/>
          <w:szCs w:val="20"/>
        </w:rPr>
        <w:t xml:space="preserve">We were already </w:t>
      </w:r>
      <w:r>
        <w:rPr>
          <w:color w:val="00000A"/>
          <w:sz w:val="20"/>
          <w:szCs w:val="20"/>
        </w:rPr>
        <w:t xml:space="preserve">averaging across flies so small changes in the accuracy of individual RF recordings </w:t>
      </w:r>
      <w:r>
        <w:rPr>
          <w:color w:val="00000A"/>
          <w:sz w:val="20"/>
          <w:szCs w:val="20"/>
        </w:rPr>
        <w:t xml:space="preserve">would be unlikely </w:t>
      </w:r>
      <w:r>
        <w:rPr>
          <w:color w:val="00000A"/>
          <w:sz w:val="20"/>
          <w:szCs w:val="20"/>
        </w:rPr>
        <w:t xml:space="preserve">make a lot of difference. There's sufficient averaging in the process that getting the originals would not add much. </w:t>
      </w:r>
      <w:r>
        <w:rPr>
          <w:color w:val="00000A"/>
          <w:sz w:val="20"/>
          <w:szCs w:val="20"/>
        </w:rPr>
        <w:t>Similarly, other processing steps rely on averaging and reduce the significance of using original data. Finally, in the course of modelling research for our other paper, variants on the averaging process were used and have shown negligible effect on results.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LibreOffice/5.3.1.2$Linux_X86_64 LibreOffice_project/30m0$Build-2</Application>
  <Pages>3</Pages>
  <Words>1633</Words>
  <Characters>8560</Characters>
  <CharactersWithSpaces>10159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Alex Dewar</cp:lastModifiedBy>
  <dcterms:modified xsi:type="dcterms:W3CDTF">2017-08-02T11:46:15Z</dcterms:modified>
  <cp:revision>17</cp:revision>
  <dc:subject/>
  <dc:title/>
</cp:coreProperties>
</file>