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Pr>
      <w:tblGrid>
        <w:gridCol w:w="10323"/>
        <w:gridCol w:w="449"/>
      </w:tblGrid>
      <w:tr>
        <w:trPr>
          <w:trHeight w:val="16273" w:hRule="exact"/>
          <w:cantSplit/>
        </w:trPr>
        <w:tc>
          <w:tcPr>
            <w:tcW w:type="dxa" w:w="10323"/>
            <w:tcMar>
              <w:top w:w="170" w:type="dxa"/>
              <w:left w:w="170" w:type="dxa"/>
              <w:bottom w:w="170" w:type="dxa"/>
              <w:right w:w="170" w:type="dxa"/>
            </w:tcMar>
            <w:tcBorders>
              <w:top w:val="single" w:sz="8" w:space="0" w:color="auto"/>
              <w:left w:val="single" w:sz="8" w:space="0" w:color="auto"/>
              <w:bottom w:val="single" w:sz="8" w:space="0" w:color="auto"/>
              <w:right w:val="single" w:sz="8" w:space="0" w:color="auto"/>
            </w:tcBorders>
            <w:vAlign w:val="top"/>
          </w:tcPr>
          <w:p>
            <w:pPr>
              <w:spacing w:line="336" w:lineRule="auto" w:before="120" w:after="240"/>
              <w:jc w:val="center"/>
            </w:pPr>
            <w:r>
              <w:rPr>
                <w:rFonts w:ascii="SimSun" w:hAnsi="SimSun" w:eastAsia="SimSun"/>
                <w:b/>
                <w:sz w:val="32"/>
              </w:rPr>
              <w:t>宜阳韩城三道岭杜氏考</w:t>
            </w:r>
          </w:p>
          <w:p>
            <w:pPr>
              <w:spacing w:line="336" w:lineRule="auto" w:before="0" w:after="60"/>
              <w:ind w:firstLine="480"/>
              <w:jc w:val="both"/>
            </w:pPr>
            <w:r>
              <w:rPr>
                <w:rFonts w:ascii="KaiTi" w:hAnsi="KaiTi" w:eastAsia="KaiTi"/>
                <w:b w:val="0"/>
                <w:sz w:val="24"/>
              </w:rPr>
              <w:t>始祖二人，昆弟失序，相传自西流程来：一祖卜居宜邑杜家沟；一祖卜居渑邑荻屋村。其实不详某祖迁某处。所以碑轴故以二人为始祖，始祖母亦失传，七世以上源流不清，后人无所考证。观世系者，未免有所憾耳。自七世以下，分为八门，父子相继，世世相推，秩然无讹矣。</w:t>
            </w:r>
          </w:p>
          <w:p>
            <w:pPr>
              <w:spacing w:line="336" w:lineRule="auto" w:before="0" w:after="60"/>
              <w:ind w:firstLine="480"/>
              <w:jc w:val="both"/>
            </w:pPr>
            <w:r>
              <w:rPr>
                <w:rFonts w:ascii="KaiTi" w:hAnsi="KaiTi" w:eastAsia="KaiTi"/>
                <w:b w:val="0"/>
                <w:sz w:val="24"/>
              </w:rPr>
              <w:t>注：本文见三道岭民国初年《杜氏家谱》（十七世杜清修藏）。本文及下文有关杜氏来源，录以备考。</w:t>
            </w:r>
          </w:p>
          <w:p>
            <w:pPr>
              <w:spacing w:line="336" w:lineRule="auto" w:before="0" w:after="60"/>
              <w:ind w:firstLine="480"/>
              <w:jc w:val="both"/>
            </w:pPr>
            <w:r>
              <w:rPr>
                <w:rFonts w:ascii="KaiTi" w:hAnsi="KaiTi" w:eastAsia="KaiTi"/>
                <w:b w:val="0"/>
                <w:sz w:val="24"/>
              </w:rPr>
              <w:t>尝闻：木有本而萌蘖日生，水有源而昼夜不舍，人有祖而百代衍传，理固然也。如我杜氏，自明末由西流程迁至宜邑杜家沟、渑邑荻屋村。及清雍正年间，卜居三道岭。有迁居卢氏县，其后又迁宜邑桃村、孔昌村者，其间历明、清、民国三百年，我</w:t>
            </w:r>
          </w:p>
          <w:p>
            <w:pPr>
              <w:spacing w:line="336" w:lineRule="auto" w:before="0" w:after="60"/>
              <w:ind w:firstLine="480"/>
              <w:jc w:val="both"/>
            </w:pPr>
            <w:r>
              <w:rPr>
                <w:rFonts w:ascii="KaiTi" w:hAnsi="KaiTi" w:eastAsia="KaiTi"/>
                <w:b w:val="0"/>
                <w:sz w:val="24"/>
              </w:rPr>
              <w:t>族人口繁茂，支派屡分，相传十世，宗派岌岌无所征。幸有十四世孙师善者，素有追远我祖之志，书谱一册，至民国肇建，盗贼蜂起，数被侵扰，虽有家谱，亦残缺而失次。念我祖之积德深厚，不忍坐视湮没，致后世不知所从出乎于此。感激慨然，复叙所以。余自始祖以来，分门别派，验轴追究，访辈问名，询于年老，敬修家谱，以接前人之未逮者也。固不敢之承先待后、炳若日星，亦不敢之澄本清流、燎如指掌。使后代览之，庶几世系不紊欤？余有同心者可以复续，是余之厚望也。</w:t>
            </w:r>
          </w:p>
          <w:p>
            <w:pPr>
              <w:spacing w:line="336" w:lineRule="auto" w:before="0" w:after="60"/>
              <w:ind w:firstLine="480"/>
              <w:jc w:val="both"/>
            </w:pPr>
            <w:r>
              <w:rPr>
                <w:rFonts w:ascii="KaiTi" w:hAnsi="KaiTi" w:eastAsia="KaiTi"/>
                <w:b w:val="0"/>
                <w:sz w:val="24"/>
              </w:rPr>
              <w:t>始祖二人昆弟失序相傳自西流程來一祖卜居宜邑杜家溝一祖卜居澠邑荻屋材村其實不詳某祖遷某處所以碑軸故以二人為始祖始祖母亦失傳七世以上源流不清後人無所考觀世系者未免有所憾耳自七世以下分為八門父子相繼世世相推秩然無所訛矣</w:t>
            </w:r>
          </w:p>
        </w:tc>
        <w:tc>
          <w:tcPr>
            <w:tcW w:type="dxa" w:w="449"/>
            <w:tcMar>
              <w:top w:w="113" w:type="dxa"/>
              <w:left w:w="28" w:type="dxa"/>
              <w:bottom w:w="113" w:type="dxa"/>
              <w:right w:w="28" w:type="dxa"/>
            </w:tcMar>
            <w:tcBorders>
              <w:top w:val="single" w:sz="8" w:space="0" w:color="auto"/>
              <w:left w:val="single" w:sz="8" w:space="0" w:color="auto"/>
              <w:bottom w:val="single" w:sz="8" w:space="0" w:color="auto"/>
              <w:right w:val="single" w:sz="8" w:space="0" w:color="auto"/>
            </w:tcBorders>
            <w:vAlign w:val="center"/>
          </w:tcPr>
          <w:p>
            <w:pPr>
              <w:spacing w:before="0" w:after="0" w:line="240" w:lineRule="auto"/>
              <w:jc w:val="center"/>
            </w:pPr>
            <w:r>
              <w:rPr>
                <w:rFonts w:ascii="SimSun" w:hAnsi="SimSun" w:eastAsia="SimSun"/>
                <w:b/>
                <w:sz w:val="24"/>
              </w:rPr>
              <w:t>渑</w:t>
            </w:r>
          </w:p>
          <w:p>
            <w:pPr>
              <w:spacing w:before="0" w:after="0" w:line="240" w:lineRule="auto"/>
              <w:jc w:val="center"/>
            </w:pPr>
            <w:r>
              <w:rPr>
                <w:rFonts w:ascii="SimSun" w:hAnsi="SimSun" w:eastAsia="SimSun"/>
                <w:b/>
                <w:sz w:val="24"/>
              </w:rPr>
              <w:t>池</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杜</w:t>
            </w:r>
          </w:p>
          <w:p>
            <w:pPr>
              <w:spacing w:before="0" w:after="0" w:line="240" w:lineRule="auto"/>
              <w:jc w:val="center"/>
            </w:pPr>
            <w:r>
              <w:rPr>
                <w:rFonts w:ascii="SimSun" w:hAnsi="SimSun" w:eastAsia="SimSun"/>
                <w:b/>
                <w:sz w:val="24"/>
              </w:rPr>
              <w:t>氏</w:t>
            </w:r>
          </w:p>
          <w:p>
            <w:pPr>
              <w:spacing w:before="0" w:after="0" w:line="240" w:lineRule="auto"/>
              <w:jc w:val="center"/>
            </w:pPr>
            <w:r>
              <w:rPr>
                <w:rFonts w:ascii="SimSun" w:hAnsi="SimSun" w:eastAsia="SimSun"/>
                <w:b/>
                <w:sz w:val="24"/>
              </w:rPr>
              <w:t>宗</w:t>
            </w:r>
          </w:p>
          <w:p>
            <w:pPr>
              <w:spacing w:before="0" w:after="0" w:line="240" w:lineRule="auto"/>
              <w:jc w:val="center"/>
            </w:pPr>
            <w:r>
              <w:rPr>
                <w:rFonts w:ascii="SimSun" w:hAnsi="SimSun" w:eastAsia="SimSun"/>
                <w:b/>
                <w:sz w:val="24"/>
              </w:rPr>
              <w:t>谱</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十</w:t>
            </w:r>
          </w:p>
          <w:p>
            <w:pPr>
              <w:spacing w:before="0" w:after="0" w:line="240" w:lineRule="auto"/>
              <w:jc w:val="center"/>
            </w:pPr>
            <w:r>
              <w:rPr>
                <w:rFonts w:ascii="SimSun" w:hAnsi="SimSun" w:eastAsia="SimSun"/>
                <w:b/>
                <w:sz w:val="24"/>
              </w:rPr>
              <w:t>一</w:t>
            </w:r>
          </w:p>
        </w:tc>
      </w:tr>
    </w:tbl>
    <w:sectPr w:rsidR="00FC693F" w:rsidRPr="0006063C" w:rsidSect="00034616">
      <w:pgSz w:w="11906" w:h="16838"/>
      <w:pgMar w:top="283" w:right="567" w:bottom="283"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36" w:lineRule="auto"/>
    </w:pPr>
    <w:rPr>
      <w:rFonts w:ascii="KaiTi" w:hAnsi="KaiT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