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Layout w:type="fixed"/>
      </w:tblPr>
      <w:tblGrid>
        <w:gridCol w:w="10323"/>
        <w:gridCol w:w="449"/>
      </w:tblGrid>
      <w:tr>
        <w:trPr>
          <w:trHeight w:val="16273" w:hRule="exact"/>
          <w:cantSplit/>
        </w:trPr>
        <w:tc>
          <w:tcPr>
            <w:tcW w:type="dxa" w:w="10323"/>
            <w:tcMar>
              <w:top w:w="170" w:type="dxa"/>
              <w:left w:w="170" w:type="dxa"/>
              <w:bottom w:w="170" w:type="dxa"/>
              <w:right w:w="170" w:type="dxa"/>
            </w:tcMar>
            <w:tcBorders>
              <w:top w:val="single" w:sz="8" w:space="0" w:color="auto"/>
              <w:left w:val="single" w:sz="8" w:space="0" w:color="auto"/>
              <w:bottom w:val="single" w:sz="8" w:space="0" w:color="auto"/>
              <w:right w:val="single" w:sz="8" w:space="0" w:color="auto"/>
            </w:tcBorders>
            <w:vAlign w:val="top"/>
          </w:tcPr>
          <w:p>
            <w:pPr>
              <w:spacing w:line="336" w:lineRule="auto" w:before="0" w:after="60"/>
              <w:ind w:firstLine="480"/>
              <w:jc w:val="both"/>
            </w:pPr>
            <w:r>
              <w:rPr>
                <w:rFonts w:ascii="KaiTi" w:hAnsi="KaiTi" w:eastAsia="KaiTi"/>
                <w:b w:val="0"/>
                <w:sz w:val="24"/>
              </w:rPr>
              <w:t>嘗聞木有本而萌蘖日生水有源而書夜不舍人有祖而百代衍傳理固然也如杜氏自明末由西流程遷至宜邑杜家溝澠邑荻屋村及清雍正年間卜居三道嶺有遷居盧氏縣其後又宜邑桃村孔昌村者其間歷明清民國三百餘年我族人口繁茂支派屡分相傳十餘世宗派岌岌無所徵幸有十四世孫師善者素有追遠我祖之志書譜一册至民國单建盗賊蜂起数被侵擾雖有</w:t>
            </w:r>
          </w:p>
          <w:p>
            <w:pPr>
              <w:spacing w:line="336" w:lineRule="auto" w:before="0" w:after="60"/>
              <w:ind w:firstLine="480"/>
              <w:jc w:val="both"/>
            </w:pPr>
            <w:r>
              <w:rPr>
                <w:rFonts w:ascii="KaiTi" w:hAnsi="KaiTi" w:eastAsia="KaiTi"/>
                <w:b w:val="0"/>
                <w:sz w:val="24"/>
              </w:rPr>
              <w:t>家亦残缺而失次念我祖之積德深厚不忍坐視湮没致後世不知所從出乎於此感激慨然復叙所以余自始祖以来分門別派驗軸胡輩問名於年老敬修譜追</w:t>
            </w:r>
          </w:p>
          <w:p>
            <w:pPr>
              <w:spacing w:line="336" w:lineRule="auto" w:before="0" w:after="60"/>
              <w:ind w:firstLine="480"/>
              <w:jc w:val="both"/>
            </w:pPr>
            <w:r>
              <w:rPr>
                <w:rFonts w:ascii="KaiTi" w:hAnsi="KaiTi" w:eastAsia="KaiTi"/>
                <w:b w:val="0"/>
                <w:sz w:val="24"/>
              </w:rPr>
              <w:t>以前人之未逮者也固不敢謂之承先待後炳若日星亦不敢謂之澄本清流燎如指掌使後代覧之庶幾世系不奈與余有同心者可以復續是余之厚望也</w:t>
            </w:r>
          </w:p>
        </w:tc>
        <w:tc>
          <w:tcPr>
            <w:tcW w:type="dxa" w:w="449"/>
            <w:tcMar>
              <w:top w:w="113" w:type="dxa"/>
              <w:left w:w="28" w:type="dxa"/>
              <w:bottom w:w="113" w:type="dxa"/>
              <w:right w:w="28" w:type="dxa"/>
            </w:tcMar>
            <w:tcBorders>
              <w:top w:val="single" w:sz="8" w:space="0" w:color="auto"/>
              <w:left w:val="single" w:sz="8" w:space="0" w:color="auto"/>
              <w:bottom w:val="single" w:sz="8" w:space="0" w:color="auto"/>
              <w:right w:val="single" w:sz="8" w:space="0" w:color="auto"/>
            </w:tcBorders>
            <w:vAlign w:val="center"/>
          </w:tcPr>
          <w:p>
            <w:pPr>
              <w:spacing w:before="0" w:after="0" w:line="240" w:lineRule="auto"/>
              <w:jc w:val="center"/>
            </w:pPr>
            <w:r>
              <w:rPr>
                <w:rFonts w:ascii="SimSun" w:hAnsi="SimSun" w:eastAsia="SimSun"/>
                <w:b/>
                <w:sz w:val="24"/>
              </w:rPr>
              <w:t>渑</w:t>
            </w:r>
          </w:p>
          <w:p>
            <w:pPr>
              <w:spacing w:before="0" w:after="0" w:line="240" w:lineRule="auto"/>
              <w:jc w:val="center"/>
            </w:pPr>
            <w:r>
              <w:rPr>
                <w:rFonts w:ascii="SimSun" w:hAnsi="SimSun" w:eastAsia="SimSun"/>
                <w:b/>
                <w:sz w:val="24"/>
              </w:rPr>
              <w:t>池</w:t>
            </w:r>
          </w:p>
          <w:p>
            <w:pPr>
              <w:spacing w:before="0" w:after="0" w:line="240" w:lineRule="auto"/>
              <w:jc w:val="center"/>
            </w:pPr>
          </w:p>
          <w:p>
            <w:pPr>
              <w:spacing w:before="0" w:after="0" w:line="240" w:lineRule="auto"/>
              <w:jc w:val="center"/>
            </w:pPr>
          </w:p>
          <w:p>
            <w:pPr>
              <w:spacing w:before="0" w:after="0" w:line="240" w:lineRule="auto"/>
              <w:jc w:val="center"/>
            </w:pPr>
            <w:r>
              <w:rPr>
                <w:rFonts w:ascii="SimSun" w:hAnsi="SimSun" w:eastAsia="SimSun"/>
                <w:b/>
                <w:sz w:val="24"/>
              </w:rPr>
              <w:t>杜</w:t>
            </w:r>
          </w:p>
          <w:p>
            <w:pPr>
              <w:spacing w:before="0" w:after="0" w:line="240" w:lineRule="auto"/>
              <w:jc w:val="center"/>
            </w:pPr>
            <w:r>
              <w:rPr>
                <w:rFonts w:ascii="SimSun" w:hAnsi="SimSun" w:eastAsia="SimSun"/>
                <w:b/>
                <w:sz w:val="24"/>
              </w:rPr>
              <w:t>氏</w:t>
            </w:r>
          </w:p>
          <w:p>
            <w:pPr>
              <w:spacing w:before="0" w:after="0" w:line="240" w:lineRule="auto"/>
              <w:jc w:val="center"/>
            </w:pPr>
            <w:r>
              <w:rPr>
                <w:rFonts w:ascii="SimSun" w:hAnsi="SimSun" w:eastAsia="SimSun"/>
                <w:b/>
                <w:sz w:val="24"/>
              </w:rPr>
              <w:t>宗</w:t>
            </w:r>
          </w:p>
          <w:p>
            <w:pPr>
              <w:spacing w:before="0" w:after="0" w:line="240" w:lineRule="auto"/>
              <w:jc w:val="center"/>
            </w:pPr>
            <w:r>
              <w:rPr>
                <w:rFonts w:ascii="SimSun" w:hAnsi="SimSun" w:eastAsia="SimSun"/>
                <w:b/>
                <w:sz w:val="24"/>
              </w:rPr>
              <w:t>谱</w:t>
            </w:r>
          </w:p>
          <w:p>
            <w:pPr>
              <w:spacing w:before="0" w:after="0" w:line="240" w:lineRule="auto"/>
              <w:jc w:val="center"/>
            </w:pPr>
          </w:p>
          <w:p>
            <w:pPr>
              <w:spacing w:before="0" w:after="0" w:line="240" w:lineRule="auto"/>
              <w:jc w:val="center"/>
            </w:pPr>
          </w:p>
          <w:p>
            <w:pPr>
              <w:spacing w:before="0" w:after="0" w:line="240" w:lineRule="auto"/>
              <w:jc w:val="center"/>
            </w:pPr>
            <w:r>
              <w:rPr>
                <w:rFonts w:ascii="SimSun" w:hAnsi="SimSun" w:eastAsia="SimSun"/>
                <w:b/>
                <w:sz w:val="24"/>
              </w:rPr>
              <w:t>十</w:t>
            </w:r>
          </w:p>
          <w:p>
            <w:pPr>
              <w:spacing w:before="0" w:after="0" w:line="240" w:lineRule="auto"/>
              <w:jc w:val="center"/>
            </w:pPr>
            <w:r>
              <w:rPr>
                <w:rFonts w:ascii="SimSun" w:hAnsi="SimSun" w:eastAsia="SimSun"/>
                <w:b/>
                <w:sz w:val="24"/>
              </w:rPr>
              <w:t>二</w:t>
            </w:r>
          </w:p>
        </w:tc>
      </w:tr>
    </w:tbl>
    <w:sectPr w:rsidR="00FC693F" w:rsidRPr="0006063C" w:rsidSect="00034616">
      <w:pgSz w:w="11906" w:h="16838"/>
      <w:pgMar w:top="283" w:right="567" w:bottom="283"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36" w:lineRule="auto"/>
    </w:pPr>
    <w:rPr>
      <w:rFonts w:ascii="KaiTi" w:hAnsi="KaiT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