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Pr>
      <w:tblGrid>
        <w:gridCol w:w="10323"/>
        <w:gridCol w:w="449"/>
      </w:tblGrid>
      <w:tr>
        <w:trPr>
          <w:trHeight w:val="16273" w:hRule="exact"/>
          <w:cantSplit/>
        </w:trPr>
        <w:tc>
          <w:tcPr>
            <w:tcW w:type="dxa" w:w="10323"/>
            <w:tcMar>
              <w:top w:w="170" w:type="dxa"/>
              <w:left w:w="170" w:type="dxa"/>
              <w:bottom w:w="170" w:type="dxa"/>
              <w:right w:w="170" w:type="dxa"/>
            </w:tcMar>
            <w:tcBorders>
              <w:top w:val="single" w:sz="8" w:space="0" w:color="auto"/>
              <w:left w:val="single" w:sz="8" w:space="0" w:color="auto"/>
              <w:bottom w:val="single" w:sz="8" w:space="0" w:color="auto"/>
              <w:right w:val="single" w:sz="8" w:space="0" w:color="auto"/>
            </w:tcBorders>
            <w:vAlign w:val="top"/>
          </w:tcPr>
          <w:p>
            <w:pPr>
              <w:spacing w:line="336" w:lineRule="auto" w:before="0" w:after="60"/>
              <w:ind w:firstLine="480"/>
              <w:jc w:val="both"/>
            </w:pPr>
            <w:r>
              <w:rPr>
                <w:rFonts w:ascii="KaiTi" w:hAnsi="KaiTi" w:eastAsia="KaiTi"/>
                <w:b w:val="0"/>
                <w:sz w:val="24"/>
              </w:rPr>
              <w:t>南张村位于义马市区内，临于银杏路北侧。渑池杜氏从九世祖秀培公由坻坞西村迁于此地，传说是因当时杜姓与贾姓联姻而迁居。此后，张姓又迁之此地，与杜姓等共居一村，村名因此称为张村。在二十世纪八十年代，民政部门规范地名时，因村名与位于渑池县西北部的张村镇张村重名，故改名南张村。</w:t>
            </w:r>
          </w:p>
          <w:p>
            <w:pPr>
              <w:spacing w:line="336" w:lineRule="auto" w:before="0" w:after="60"/>
              <w:ind w:firstLine="480"/>
              <w:jc w:val="both"/>
            </w:pPr>
            <w:r>
              <w:rPr>
                <w:rFonts w:ascii="KaiTi" w:hAnsi="KaiTi" w:eastAsia="KaiTi"/>
                <w:b w:val="0"/>
                <w:sz w:val="24"/>
              </w:rPr>
              <w:t>南张村杜氏世系为：</w:t>
            </w:r>
          </w:p>
          <w:p>
            <w:pPr>
              <w:spacing w:line="336" w:lineRule="auto" w:before="0" w:after="60"/>
              <w:ind w:firstLine="480"/>
              <w:jc w:val="both"/>
            </w:pPr>
            <w:r>
              <w:rPr>
                <w:rFonts w:ascii="KaiTi" w:hAnsi="KaiTi" w:eastAsia="KaiTi"/>
                <w:b w:val="0"/>
                <w:sz w:val="24"/>
              </w:rPr>
              <w:t>流芳公——孝——孽——仲德——金</w:t>
            </w:r>
          </w:p>
          <w:p>
            <w:pPr>
              <w:spacing w:line="336" w:lineRule="auto" w:before="0" w:after="60"/>
              <w:ind w:firstLine="480"/>
              <w:jc w:val="both"/>
            </w:pPr>
            <w:r>
              <w:rPr>
                <w:rFonts w:ascii="KaiTi" w:hAnsi="KaiTi" w:eastAsia="KaiTi"/>
                <w:b w:val="0"/>
                <w:sz w:val="24"/>
              </w:rPr>
              <w:t>南张村杜氏从十一世举人杜含章以来，代代秉承古训、耕读传家，仅十六世至十八世教书育人者就达十多人。南张村杜氏为渑池杜氏之西门，本支为创修祠堂、再修宗谱做出了很大贡献。据传说，张村的吃水井就是杜氏所建，现在杜氏人口约八十余口。</w:t>
            </w:r>
          </w:p>
          <w:p>
            <w:pPr>
              <w:spacing w:line="336" w:lineRule="auto" w:before="0" w:after="60"/>
              <w:ind w:firstLine="480"/>
              <w:jc w:val="both"/>
            </w:pPr>
            <w:r>
              <w:rPr>
                <w:rFonts w:ascii="KaiTi" w:hAnsi="KaiTi" w:eastAsia="KaiTi"/>
                <w:b w:val="0"/>
                <w:sz w:val="24"/>
              </w:rPr>
              <w:t>南张村因列入义马市区，有极大发展潜力，村里规划的村民集中居住区（城乡一体化），位于银杏路和北环路（百米大道）中间，已经揭牌开建，附近的房产局、环保局、商业大厦、肉联厂、地税局大楼等已逐步建起，滨河石道的改造和两侧的游园建设更使世代农民的南张村人融入了城镇。</w:t>
            </w:r>
          </w:p>
        </w:tc>
        <w:tc>
          <w:tcPr>
            <w:tcW w:type="dxa" w:w="449"/>
            <w:tcMar>
              <w:top w:w="113" w:type="dxa"/>
              <w:left w:w="28" w:type="dxa"/>
              <w:bottom w:w="113" w:type="dxa"/>
              <w:right w:w="28" w:type="dxa"/>
            </w:tcMar>
            <w:tcBorders>
              <w:top w:val="single" w:sz="8" w:space="0" w:color="auto"/>
              <w:left w:val="single" w:sz="8" w:space="0" w:color="auto"/>
              <w:bottom w:val="single" w:sz="8" w:space="0" w:color="auto"/>
              <w:right w:val="single" w:sz="8" w:space="0" w:color="auto"/>
            </w:tcBorders>
            <w:vAlign w:val="center"/>
          </w:tcPr>
          <w:p>
            <w:pPr>
              <w:spacing w:before="0" w:after="0" w:line="240" w:lineRule="auto"/>
              <w:jc w:val="center"/>
            </w:pPr>
            <w:r>
              <w:rPr>
                <w:rFonts w:ascii="SimSun" w:hAnsi="SimSun" w:eastAsia="SimSun"/>
                <w:b/>
                <w:sz w:val="24"/>
              </w:rPr>
              <w:t>渑</w:t>
            </w:r>
          </w:p>
          <w:p>
            <w:pPr>
              <w:spacing w:before="0" w:after="0" w:line="240" w:lineRule="auto"/>
              <w:jc w:val="center"/>
            </w:pPr>
            <w:r>
              <w:rPr>
                <w:rFonts w:ascii="SimSun" w:hAnsi="SimSun" w:eastAsia="SimSun"/>
                <w:b/>
                <w:sz w:val="24"/>
              </w:rPr>
              <w:t>池</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杜</w:t>
            </w:r>
          </w:p>
          <w:p>
            <w:pPr>
              <w:spacing w:before="0" w:after="0" w:line="240" w:lineRule="auto"/>
              <w:jc w:val="center"/>
            </w:pPr>
            <w:r>
              <w:rPr>
                <w:rFonts w:ascii="SimSun" w:hAnsi="SimSun" w:eastAsia="SimSun"/>
                <w:b/>
                <w:sz w:val="24"/>
              </w:rPr>
              <w:t>氏</w:t>
            </w:r>
          </w:p>
          <w:p>
            <w:pPr>
              <w:spacing w:before="0" w:after="0" w:line="240" w:lineRule="auto"/>
              <w:jc w:val="center"/>
            </w:pPr>
            <w:r>
              <w:rPr>
                <w:rFonts w:ascii="SimSun" w:hAnsi="SimSun" w:eastAsia="SimSun"/>
                <w:b/>
                <w:sz w:val="24"/>
              </w:rPr>
              <w:t>宗</w:t>
            </w:r>
          </w:p>
          <w:p>
            <w:pPr>
              <w:spacing w:before="0" w:after="0" w:line="240" w:lineRule="auto"/>
              <w:jc w:val="center"/>
            </w:pPr>
            <w:r>
              <w:rPr>
                <w:rFonts w:ascii="SimSun" w:hAnsi="SimSun" w:eastAsia="SimSun"/>
                <w:b/>
                <w:sz w:val="24"/>
              </w:rPr>
              <w:t>谱</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二</w:t>
            </w:r>
          </w:p>
          <w:p>
            <w:pPr>
              <w:spacing w:before="0" w:after="0" w:line="240" w:lineRule="auto"/>
              <w:jc w:val="center"/>
            </w:pPr>
            <w:r>
              <w:rPr>
                <w:rFonts w:ascii="SimSun" w:hAnsi="SimSun" w:eastAsia="SimSun"/>
                <w:b/>
                <w:sz w:val="24"/>
              </w:rPr>
              <w:t>百</w:t>
            </w:r>
          </w:p>
          <w:p>
            <w:pPr>
              <w:spacing w:before="0" w:after="0" w:line="240" w:lineRule="auto"/>
              <w:jc w:val="center"/>
            </w:pPr>
            <w:r>
              <w:rPr>
                <w:rFonts w:ascii="SimSun" w:hAnsi="SimSun" w:eastAsia="SimSun"/>
                <w:b/>
                <w:sz w:val="24"/>
              </w:rPr>
              <w:t>二</w:t>
            </w:r>
          </w:p>
          <w:p>
            <w:pPr>
              <w:spacing w:before="0" w:after="0" w:line="240" w:lineRule="auto"/>
              <w:jc w:val="center"/>
            </w:pPr>
            <w:r>
              <w:rPr>
                <w:rFonts w:ascii="SimSun" w:hAnsi="SimSun" w:eastAsia="SimSun"/>
                <w:b/>
                <w:sz w:val="24"/>
              </w:rPr>
              <w:t>十</w:t>
            </w:r>
          </w:p>
          <w:p>
            <w:pPr>
              <w:spacing w:before="0" w:after="0" w:line="240" w:lineRule="auto"/>
              <w:jc w:val="center"/>
            </w:pPr>
            <w:r>
              <w:rPr>
                <w:rFonts w:ascii="SimSun" w:hAnsi="SimSun" w:eastAsia="SimSun"/>
                <w:b/>
                <w:sz w:val="24"/>
              </w:rPr>
              <w:t>一</w:t>
            </w:r>
          </w:p>
        </w:tc>
      </w:tr>
    </w:tbl>
    <w:sectPr w:rsidR="00FC693F" w:rsidRPr="0006063C" w:rsidSect="00034616">
      <w:pgSz w:w="11906" w:h="16838"/>
      <w:pgMar w:top="283" w:right="567" w:bottom="283"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36" w:lineRule="auto"/>
    </w:pPr>
    <w:rPr>
      <w:rFonts w:ascii="KaiTi" w:hAnsi="KaiT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