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10323"/>
        <w:gridCol w:w="449"/>
      </w:tblGrid>
      <w:tr>
        <w:trPr>
          <w:trHeight w:val="16273" w:hRule="exact"/>
          <w:cantSplit/>
        </w:trPr>
        <w:tc>
          <w:tcPr>
            <w:tcW w:type="dxa" w:w="10323"/>
            <w:tcMar>
              <w:top w:w="170" w:type="dxa"/>
              <w:left w:w="170" w:type="dxa"/>
              <w:bottom w:w="170" w:type="dxa"/>
              <w:right w:w="170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top"/>
          </w:tcPr>
          <w:p>
            <w:pPr>
              <w:spacing w:line="336" w:lineRule="auto" w:before="120" w:after="240"/>
              <w:jc w:val="center"/>
            </w:pPr>
            <w:r>
              <w:rPr>
                <w:rFonts w:ascii="SimSun" w:hAnsi="SimSun" w:eastAsia="SimSun"/>
                <w:b/>
                <w:sz w:val="32"/>
              </w:rPr>
              <w:t>重修杜氏宗谱序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宗谱，又称家谱、家乘，是同宗共祖的血亲集团以特殊方式记载本族世系和事迹的历史谱图。谱牒与正史、方志互为表里，共同组成了中国历史的大厦，作为历史的三大载体之一，谱牒具体而微，是中华文化和中国典籍的重要组成部分。中国能够列入世界四大文明古国，华夏文明能够世代绵延薪火相传，惟其有编史修志续谱的光荣传统。我国周代设小史以掌诸侯志乘，秦汉立宗正以修王侯谱牒，至魏晋而形成谱学，至唐宋而谱学昌盛。宋代欧阳修、苏询各创谱式，至明清形成欧苏合体之谱，修谱之风，遂遍及全国。1949年之后，宗谱一度被潜意识地当成封建宗法制度的产物，祠毁谱废，百不存一。但亦从未听说有因宗谱获罪的。相反，常常有许多历史上的人与事在宗谱上得到印证者，并被披露于报端。1978年改革开放后，经济建设飞速发展，人们解放思想，精神面貌也为之一新，开始关注姓氏文化，各种姓氏著作大量出现，民间之修谱又成普遍，各姓宗谱往往印刷精美，异彩纷呈。这也足以说明谱牒有深厚的群众基础和顽强的生命力。但综观各地的新修宗谱，多局限于旧谱，有传统积弊，无现代新意，不失之拘泥因循，则失之于记载单一，更有毁例乖史、错谬百出者。为此，符合现代社会发展需求之新型家谱，呼之欲出，亟待创编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吾族系出尧帝，望重京兆。本枝自始祖流芳公由洪洞迁居崤渑，四世真金公光大家门，已历多世，旧有宗谱，明末遗失，以致始祖祖讳失考、衍生各支失去联系。清乾隆时，再创修家乘，仅录东、西两门之干枝，他枝或为云和神轴相传，甚则口口相传，乃至世次名讳失传。民国7年(1918年)和1963年，宗谱经两次增编，补入杜坑、孟村、西窑等门。1988年第三次续谱时，补入王都、徐坡等村，总该二门，以村为经，宗谱之大要粗备。然此数谱者，或卷首不设“凡例”，或谱中漏载要项，或记述支派不全，或世系紊乱不明，或姓名事迹错谬，其间虽不无增改发明之功，但因当时人力、财力及修谱时间所限，多属草创，未能尽善尽美。我自幼爱习历史，1991年从事史志工作后，常留心谱牒，每好翻阅各姓宗谱。展卷杜氏之谱，未尝不有感于先人创业之难、修谱之艰，深以谱中旧弊为憾，而着力翻查史籍、熟其编法，期待将来能光大先志、集其大成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2008年，时值奥运会在北京举办之年，杜军、苏民、韶光等族内俊彦，以当代改革开放，渑池经济社会发展迅猛，人口流动变化加快，非任何时代所能比拟，原定之三十年一续谱未免拘泥成规、滞后时代，乃谋重修祖茔、宗祠，续编宗谱。成立修祠续谱委员会，以族叔平泉公总其事。王都族叔黎明，父子两世参与修谱，公务之余，有志族务，以我近支相知，故荐之于平泉公。平泉公乃谦谦君子，担纲总责，正乏助手，见我曾主编县志、年鉴，于是邀我从事撰写、参订修祠文字等事项，并委以纂谱重任。我初时以承担史志公务事冗，难于从事，自己又非者望，智少力薄，本不敢承应。平泉公乃推诚以待，多所奖拔。我只得见贤思齐，服务家族，不敢言劳，工作余暇，勉力为之。</w:t>
            </w:r>
          </w:p>
        </w:tc>
        <w:tc>
          <w:tcPr>
            <w:tcW w:type="dxa" w:w="449"/>
            <w:tcMar>
              <w:top w:w="113" w:type="dxa"/>
              <w:left w:w="28" w:type="dxa"/>
              <w:bottom w:w="113" w:type="dxa"/>
              <w:right w:w="28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36" w:lineRule="auto"/>
    </w:pPr>
    <w:rPr>
      <w:rFonts w:ascii="KaiTi" w:hAnsi="KaiT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