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清乾隆十八年木刻活字本。中国家谱网站藏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7.萍乡石洞口《杜氏家谱》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8.1923年（澧县）《杜氏族谱》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9.1948年（宜章县）《杜姓氏族源流》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10.2002年（石门县）《杜氏家谱》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1.湖北《杜氏宗谱》，十八卷八册，著者待考，清光绪三十二年（公元1907年）宝田堂木刻活字本。湖北省图书馆藏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2.湖北江夏《杜氏宗谱》，十八卷，首一卷，共八册。（清）杜利川等修，清光绪十二年（公元1886年）宝田堂木刻活字本。中国人民大学图书馆藏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3.湖北黄冈《杜氏宗谱》残卷，首三卷，（民国）杜维珩编修，民国六年（公元1917年）敦本堂木刻活字本，仅存卷首三卷，第一~二十一卷、第二十四~二十五卷、第三十一~四十卷。湖北省黄冈县档案馆藏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4.湖北黄冈《杜氏宗谱》，十二卷十一册，（民国）杜超铨修，民国十五年（公元1926年）宝田堂祠刊本。中国科学院图书馆藏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5.湖北黄冈《杜氏宗谱》，三十八卷，（民国）杜良信续修，民国三十七年（公元1948年）木刻活字本。湖北省新洲县周铺乡洪山村藏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6.湖北新洲《黄冈杜氏谱》，二十四卷，首四卷，（民国）杜良俊、杜家庆等四修，民国十六年（公元1927年）木刻活字本。湖北省新洲县三店镇南桥村藏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7.湖北华容县《宝田堂杜氏家谱》，2002年六修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1.河南伊川县江佐镇《杜氏家谱》，不分卷，（清）杜文林等编纂，清光绪十五年（公元1889年）木刻活字本。河南省伊川县档案馆藏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2.河南扶沟县《杜氏族谱》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3.洛阳孟津上院《杜氏宗谱》，杜万怙等三续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4.河南《杜氏家谱》，宋、元、明杜祠刻本和河南巩县手抄本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5.河南淇县七里堡《杜氏家谱》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6.河南渑池《杜氏宗谱》，不分卷，清乾隆年间，杜若甫编，佚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src="imgs/img_in_image_box_1337_1769_1766_2320.jpg" alt="Image" width="21%" /&gt;&lt;/div&gt;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