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src="imgs/img_in_image_box_492_241_1705_860.jpg" alt="Image" width="58%"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1.天津武清《杜氏家谱》，不分卷，一册。（民国）杜涵修，民国三十二年（公元1943年）铅印本。河北大学图书馆藏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1.《杜氏族谱》，三卷，（民国）杜天麒等著，民国三年（公元1914年）承侯祠木刻活字本。四川省合江县县志办公室藏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江西南昌《金堂杜氏宗谱》，残卷，存一卷，民国年间活字本，江西档案馆藏十三、江苏江苏常州《杜氏宗谱》，十二卷，（清）杜绍彩、杜寿庚修，清宣统三年（公元1910年）振德堂木刻活字本十二册。河北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广西凌云县《杜氏族谱》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十四、海南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海南《琼崖杜氏族谱》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1.福清县《晋安杜氏族谱》，不分卷，三册，（民国）杜逢时辑。此谱有两种版本：民国二十一年（1932）福清杜氏铅印本，福建图书馆、福建师范大学图书馆藏；民国二十五年杜氏申江排印本，山西省图书馆藏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2.宁化安远《杜氏族谱》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1.宁夏同心《杜氏族谱》，杜宏礼修，2006年版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山西清徐《(徐沟）同戈站村杜氏家谱》，清杜鹤堂修，清同治丙寅（1866)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云南弥渡县《杜氏家谱》，杜应益编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