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三四一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字元凯。咸宁四年（278）任镇南大将军，都督荆州诸军事，镇襄阳，以功封当阳县侯。博学而多谋略，时号“杜武库”，后人遂以“武库”为堂号。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7.浣花堂：以杜甫在成都浣花溪建草堂而居得名。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8.继善堂：海南杜氏始祖杜仲儒之孙，杜凤岐之子，三世祖杜汝善，字连元，生于宋元符年间（1098），任吉阳军千户。他淹通经史，素有名望，退休后闲赋在家，后来前往儋州作继善堂，宋朝名臣胡铨为跋记，参政李光赠诗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其他堂号还有：振德堂、永言堂、清介堂、泽裕堂、敦本堂、敦义堂、瑞庆堂、余庆堂等。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重要的杜姓楹联有以下四副：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1.书成通典；名列瀛洲。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上联典指唐朝史学家杜佑用三十年左右时间，著《通典》二百卷。下联典指唐初良相杜如晦，助李世民开创“贞观之治”，名列凌烟阁第一事。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2.民歌慈母；世号诗王。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上联典指东汉侍御史、南阳太守杜诗被称“前有召父（召信臣），后有杜母。下联典指“诗王”，是对唐朝大诗人杜甫（712~770）的颂称。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3.耽思乎经籍；图像于凌烟。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上联典指晋朝时期的杜预，博学多通，耽思经籍，为《春秋左氏经传集解》，又作《盟会图》《春秋长历》，成一家之言。下联典指唐朝时期的杜如晦与房玄龄共管朝政，史称“房谋杜断”，后图其像于凌烟阁。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4.花折应时，金陵度曲；兰谪降丽，玉简留珍。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此联又简作：金陵度曲；玉简遗珍。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上联典指唐朝时期的金陵女子杜秋娘撰《金缕衣》诗。下联典指东汉道姑杜兰香（传为仙女），降于洞庭包山张硕家，留玉简唾孟等具，授张硕以道，硕成仙而去。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5.新年载酒寻花市，人日题诗寄草堂。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上联见杜甫诗。下联句见唐代诗人高适诗《人日寄杜二拾遗》。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6.卜筑草堂，误传严武宅；驰名武库，癖好左氏书。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上联典指四川省成都杜甫草堂。后人误以为是严武的故居。下联典指西晋将领、学者杜预事典。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7.南阳世泽；莱国家声。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