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上联典指东汉时期的杜诗事典，下联典指唐朝时期的杜如晦事典。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8.学业醇儒富；星斗焕文章。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此联为佚名集唐诗联。上联见杜甫《赠特进汝阳王二十韵》，下联见杜牧《华清宫三十韵》。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8.草堂留后世；诗圣著千秋。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此联为朱德（1886~1976）撰书四川省成都杜甫草堂联。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9.守道还如周柱史；著书曾学郑司农。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此联为集唐诗联。上联见杜牧《送国棋王逢》，下联见刘禹锡《送裴处士应制举诗》。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10.云霞晴光转物候；春夜喜雨知时节。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此联为集唐诗联。上联化出于杜审言《和晋陵陆丞早春游望》：“独有宦游人，偏惊物候新。云霞出海曙，梅柳渡江春。淑气催黄鸟，晴光转绿苹。忽闻歌古调，归思欲沾襟”。下联化出于杜甫《春夜喜雨》：“好雨知时节，当春乃发生。随风潜入夜，润物细无声。野径云俱黑，江船火独明。晓看红湿处，花重锦官城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11.枫林绿树丹青合；玉杯锦席风云流。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此联为唐朝诗人杜甫诗句联。上联见《夔州歌十绝句》一句“枫林橘树丹青合”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12.梦醒扬州甘薄幸；心忧社稷老风尘。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此联化于唐诗句。上联见杜牧《七绝遣怀》“落魄江湖载酒行，楚腰纤细掌中轻。十年一觉扬州梦，赢得青楼薄幸名”。下联见杜审言诗。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13.锦水春风公占却；草堂人日我归来。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此联为清代书法家何绍基撰杜工部（杜甫）祠联。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14.世上创痍笔底波澜，民间疾苦诗中圣哲。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此联为郭沫若撰书四川省成都杜甫草堂联。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15.十二代燕翼贻谋，名留奕世思荀鹤；亿万年蝉联衍庆，叙接花溪祀玉龙。此为四川省旺苍县木门镇杜氏宗祠有副石刻对联，清光绪廪生杜维翰撰。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16.南阳得政歌炎汉，西蜀诗才显盛唐。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杜氏浣花堂联。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17.意随流水俱远；心与白鹤同闲。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清末南北大侠、自然门创始人、武术家杜心武撰联。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18.祁公开两省东南闽粤总一家，世泽承中宪克绍箕裘二百年。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横额：翰林风月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福建省厦门杏林马銮杜氏家庙联。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