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三四五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然。”盖幼时肫然赤子，惟父母是听；迨其渐长，因物而化，随习而迁，虽父母之命将不能行.乃始然提其耳而教之，固已晚矣。谚语：“教儿婴孩，教妇初来。”女辞家而适入，一切无旧恩可恃，故尝虚已以听于舅姑，而唯恐其有过也，教不于此时，亦将如子之渐长而不复可变也。尝见世之为父母、为舅姑以此为悔者不少，其有及乎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3则。孩提之童，知爱知敬，始家邦终四海，即由此充之，非由加也.其他皆属继起，况外物乎？幼时嬉戏，或指某物曰“是我有也”，先大夫必怒责之。盖恐长自私自利之心而渐离其天性也。防微杜渐，用意深矣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4则。人之于子，欲其富、欲其贵、欲其寿，考若将萃人生之福泽而备于一身，而后为谦也。察其所以教之，则一切相反。名不立行不成，听之而已，是非导之以贫贱乎？伤生伐性，任之而已，是非促之以夭殇乎？至左道营谋，而亦有得富贵者，非徒祸其子，而又以自祸。幸而废疾，久不死，亦谓之寿考，视息焉而已矣。吾见有子者，之爱之而适以害之也。即或未至于害，而膝下抚摩，亦已痴马矣半世矣，安望其能诒谋于后也？不诒谋于后，与无子何殊?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5则。教子以身不以言，非不以言也，所言皆其所行耳。其言如是，其身不如是，子固从其身不从其言也。彼自其有生而即习见矣。心会之，性通之，闻一朝之言而大反之，虽贲育之勇不能也。人有不美之行，念及其后嗣，而翻然改悔者，迁善改过，盖亦教在其中矣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第6则。凡幼习勤苦者多成，生处安乐者多败；劳则善，逸则淫，其理固然。丰衣足食，反为不幸。然则如之何？曰：“常置之勤苦之地，执业而习之，立程而课之，其荒怠者，扑之勿恤也。”其庶几乎？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7则。子孙虽愚，《诗》、《书》不可不读。人之有子，岂尽聪明？然心性本具之理无不可解。每见顽愚下质学书不成，去而他适，终其身，悖理伤教之言不敢出也，干名犯义之事不敢居也，只为曾经读书，则亦有主于其中者矣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8则。孟子曰：“中也养不中，才也养不才”。中而才，父兄之贤也。父兄贤，则亦欲其子弟之贤。不中不才，怒而付之度外，是弃之也。彼既不中不才矣，安能即识父兄之意，而自反于中才？故曰：“养养者不急”，求其效之谓也。朝焉、夕焉、俯焉、仰焉，其得诸观感之间，必有动于不自知，发于不自己者也。微乎，微乎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9则。何以教子？修身之道，即教子也；何以齐家？教子之方，即齐家也。一言一行，不出于恩，即出于礼；不由于义，即由于情。子生而见之、闻之，以为理固如是。其不如是，必恐父兄知之，而知之又必不恕之也，潜消其非心而暗长其善念者必多矣。至家人异姓聚处，各有爱憎，或形迹介念，或言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