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为惮，亦不肯辞也。志不立，则漫然尝试之而已矣。不旋踵而思退，何以能成？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18则。为学，先要拓其识见，所谓放开眼孔是也。天生人，予之以心，予之以性，体立而行，原与天地无二，即天地所生之物，莫非与我相关，无不要我裁成，无不待我辅相。亲亲、仁民、爱物，只是一贯行去。人只为无端自视为庶物之一，求安求饱外，他无所望，是其心与性者先自狭小矣。则其所为学者，虽以圣贤之书，仅同于百家小说，适成一谋衣撰食之资，于学何有哉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19则。为学，先要宏其器量。泰山不让土壤，河海不择细流，所以成其高深者，亦以其高深先有以纳之也。万事万物，皆我之所欲措置；一义一理，皆我之所当包罗。凡自任自是者，同则受之，异则拒之，合则详之，离则略之，是其学也已无容纳之地矣。所谓千变万化者，何从得之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20则。第一下手功夫是克己。人之为自己，先有私意牵制，所以见理不明者，亦行之不力，不便于己故也。痛治此心，去之务尽，自然光明正大，超出万物之表。然去之尽未易言也，但自体验于心体之间，收进一步，便是拓开一步；收之愈约，则拓之愈广。积渐行之，其中有真乐存焉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21则。其次工夫是体物忠恕，违道不远。张子谓“以爱己之心爱人”则尽道。凡人于己则明，于人则暗，夫人己皆人也。其理同，其心同，肝鬲之物，既不能晓，何以处万事乎？实则知之甚易，取之于己而己。处处反观，时时对照，行之既久，此心便如明镜。一遇事来，隐显幽深，面面皆到，知明处当，莫不由此。一言括之曰：“设身处地”而已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22则。兴于诗、立于礼、成于乐、圣人所言，三代教士之法也。春秋时学校已废，圣人何为言此？盖其法废，其意存，法虽不行，而意初无异。诗者，好恶形于美刺，情见乎词，读之易感，上自朝廷，下逮委巷，配天严祖以及君臣、父子、夫妇、昆弟、朋友，发乎情止乎礼，义备之矣。礼，天理之节文，使人行之而知其义，与诗亦无异也。特，诗主劝诫，礼主持行耳，乐则其数全亡，然其理亦可知也。今之为学，讵外乎此？识得之者，皆是心性之物，则其本末先后了然无疑。士苟有志于三代之材者，能舍是而他求耶？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三四七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23则。不患无位，患所以立。不学而求仕，犹无基而造堂室也，虽有材木砖瓦，将何所施？基不坚不厚，尚且有倾覆之患，况无之也？君子则不然，务广其规模，实其根脚，吾有基矣，虽不设堂室，何害是以俯焉？曰有孳孳，而高爵厚禄略不一动，其顾瞻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24则。古之学者，为已不专在读书。读书，其为学之一事也。今则专以读书为学矣。然圣贤微言大义具在简编，所以读之，亦欲因此求其心源，而得其施于家国天下之道。世乃更不知此，直以为科第梯梁，须借是耳。吾见故家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