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有父兄之教子弟之学，竟以为秘诀相授受。而子若弟者，自其少有知识，已利禄熏于其心。幸而得之，则不识化民成俗尽职报国为何事；而不得者，则羡慕惭恨以终其身。于是其人才尽坏，而家风日替矣。岂不哀哉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25则。古之读书者，不言为文，盖道积厥躬，发为事业。现于威仪，词气皆文章也。自周之衰而文盛，文盛而著述大兴，于是秦汉一变也，魏晋六朝又一变也，唐宋元明又一变也，流为制义又一变也。今之习制义，则自童子至老壮无不为之。乡以此抡才，朝以此选俊，其孰能不为？然文，原无古今之殊，今试取前明及国朝诸大家之文，原本经术，旁该子史，体格神韵何尝有异于古？乃今无其学，而为其文者，又自创为卑弱软俗之语，而方高自衿许，以为吾将冠时流、取高第。稍知古文者，读之已不解为何义何法矣，岂不误后生而玷当世？吾尝欲选前人制义数百篇为家塾之式，而卒卒未遑。要之，学古人之读书，积久而流，则亦非世俗之所可及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26则。天生我而得为读书之人，幸矣；且予以尚能读书之资，又幸矣；无酬应之乱意，无饥寒之迫身，家世儒素、庭训禀承、师友之功具于门内，又大幸矣。及此时而不自力于学，老大无成，何待问哉？尝忆少时萧瑟之晨、寂寞之夜，心清致远，读书情景如在目前；其壮年以后，人事纷杂，都不省记。此盖真境故久而不忘，幻境故过而即灭也。若夫役役于妻子什宦，逐逐于饮食宴乐，言则不由衷之言，行则不自主之事，东奔西走，朝不辨朝，夕不知暮，老而回首，若竟未曾度此岁月，后人历数岁月，亦若并无此人。若此者，累累皆是也，悲夫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27则。今日视昨日，则昨日无有矣。明日视今日，则今日又无有矣。人生数十年，日月几何？少时玩弄流光，自缘后日方长；追迟暮观之，曾不能一瞬也。稍可不恨者，独曾读之书在耳。陶侃运甓，法大圣而惜荫，祖逖闻鸡，蹴凉朋而起舞，士诚念此，当有汲汲皇皇忘食与寝者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28则。读书先观其大意，次寻其条理，次味其意趣，正观之，反观之，侧观之，其内有所隐，其外有所包，必有四通八达、头头皆是者也。不善读书者，读此书只是此书；若善读书者，读一书而诸书咸在。朱字所云“默识心通、触处洞然”，正如此耳。制义以四子书命题，盖是六经之统会、百家之折衷，以一书通之，而经传子史皆其注脚矣。果能如此，则解经即是学文；而所为制义者，亦必精实磅礴，迥越流俗，非若彼浮游不根、旋荣旋落者之为识者所嗤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29则。读经，要收纳到身心上来；读史，要推拓到事物上去。盛衰，治乱之由；兴废，存亡之迹。其己然者可考，则其未然者可知也。古人之用心行事，推见至隐，则《孟子》所云“知人论世”者也。至制作相承，则察其是非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