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理，核其因革之故，亦足以观时会之往来，验措施之得失。此则天地、人物、古今之富，不出户庭而如指诸掌，得不谓之通材乎哉？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30则。《四书》、《五经》皆文也。以为精，精之至；以为大，大之至；以为奇，奇之至；以为变，变之致。包孕三才，通贯百代，以其皆以明道，后人不敢以文论耳。其在周末乃可言文，诸子主意非圣人之道，而文则甚奇，其才皆非后世可及，故勿论；唯《左氏》之文闳通博雅、《国策》之文雄轶道警，二者若江河并流，同归溟海。同时屈原惊才绝艳，郁起江南，为辞赋之祖，皆大宗也。以后作者不出三途：秦文雄直，汉文醇古，贾谊、董仲舒、两司马、刘向父子、杨雄、班固其最著也；六朝文敝，而辞赋之作特多雄逸；唐宋以下虽各因时而变，而杰出若韩、柳、欧、苏、曾、王，陶铸古今终不能更开户牖，该其事亦有所止矣。昔之作者大略如此。不学古文，不可以为时文，沈雄雅健，非可袭而取也。舍此，则软美熟俗不复可人目矣。因论为学并及为文，亦欲后之为时文者之有以择之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31则。善读书者，如闻乐知音、当食知味，窈杳虚无之间，独喻而不可以告人。同一物也，一人见以为物，一人见以为道，则固超乎形器之外矣。写真者，神情弗得不似也。拙者，于耳目口鼻求之；又下者，于衣履冠带求之，去而益远矣。初学为文，天分不尽高明；一就俗师，便坐此病，至终身不能出头。可惜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32则。词章之学，昔人以为无用，谓其费尽居诸、只工藻采，于道德经济全无当耳。其言固是，但此种亦有不同。以高才博学者为之，其风骨音响卓然迈俗，可以藻丽山川、辉映日月。导扬明盛，恒需于兹，但学之则须识本原，如《离骚》为词赋之宗，贾谊、司马相如、杨雄、班固以及潘岳、陆机、左思、鲍照、江淹、徐陵、庾信之徒，递相祖述，其所制作沉博绝丽、古意具存。学者得之，虽为今之律体，亦必迥出时流，可资世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src="imgs/img_in_image_box_78_2570_191_2659.jpg"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33则。生而知学者，无有也；生而不可教者，亦无有也。孩提渐远，知识渐生，此时如泉出山，清莹秀澈，流而不息。十四五后，如东方日出，天地光明，渐生渐盛，于此诱之以学，所见所闻皆新机也。日引月长，看圣贤之书，如万花飞舞，有不忻喜跳动跂跃蒲者乎？进以百家之著作，又如仙源异境，转辟转多，愈探愈胜，有不心广神怡、流连忘返者乎？不幸其父兄志量短浅，谓人生至要无过温饱，不惟宣之于其口，而又导之于其途。子弟耳熟焉，而以为然，是自其幼也，灵秀之性固已汩没矣。又不幸其父兄以平熟庸滥之文弋获科名，自谓其得计也，取其所诵习者强之以学。其似焉，而以为喜；其不似焉，而以为忧。于是，子弟日在晦盲鄙塞之中，作尘腐冗烦之事，几幸于万一之效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