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top"/>
          </w:tcPr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src="imgs/img_in_image_box_124_459_223_545.jpg" alt="Image" width="5%"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来则为之。吾见世之求仕者，多为其途奔走风尘，需迟岁月，追其半通甫绾，而花发盈头矣。早知有命，悔不读书，此所得孰大？所丧孰多？即末世人情，视有官司为荣、无官为辱，习俗移人，贤者不免独思：父母生我，祖宗望我，只为与世俗争一日荣辱科？况无官反荣、居官反辱者，比比而足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39则。富贵有余乐，贫贱不堪忧。吾为反其言曰：贫贱有余乐，富贵不堪忧。闻者或以为怪，尝验之矣。日日而忧不足，是终身无足之日也；日日而以足为乐，是无日非足之时也。一身所需其能几何？加以妻孥，又将几何？富饶之子，半菽之费，不免攒眉；寒窭之士，计身而衣，量腹而食，反有余力可以及人。此岂世间怪事哉？盈虚消息，只在一进一退间，若不思耳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40则。子弟皆当学；为官者，子弟尤不可不学。其学焉者，人之视之，己以为其中无有矣，况饱食而无为者耶？世有父兄做官，视亲师取友攻苦读书之事，悉非所急甚者。朝歌夜弦，酣酒纵博，方谓人生适意，遑恤其他？迨时移势改，所谓荣耀风华者既往，只余百无一能之子弟，携坐食现成之家口，倚亲傍友，东走西奔，得过今日而明日复然，后日更不可问。若此者，吾见己多矣，恨不于梦梦时垂涕泣而告之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41则。凡能照管他人者，其后多能全自己；其只知有己者，后并自己亦待他人。在心体志量大小己异，其才能亦自殊也。若学者得万物一体，其广大更不同矣。天地为心，非夸也。学不如是，不足为学，只成照管一身伎俩耳。方且爱物，何况仁民？方且仁民，何况亲亲？其理是由近及远，其量可举远该近。所簿者厚而所厚者薄，亦未之有也。更宜反转观之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42则。所谓三代之材者，何也？皋陶曰：“亦行有九德：宽而栗、柔而立、愿而恭、乱而敬、扰而毅、直而温、简而廉、刚而塞、僵而毅”。彰厥有常夔教胄子，直而温、宽而栗、刚而无虐、简而无傲。周官大司徒兴贤能，知、仁、圣、义、忠、和谓之六德；孝、友、睦、姻、任、恤谓之六行。其时家有塾、党有庠、州有序，取秀民为士，纳而教之，三年考校，以升于学，又三年考校，然后论官材焉。谓其材可堪某任，授某官也。春秋时学校废，师儒在下，孔子修明之，其大学即太学，教士之旨也，自致知格物至平天下，总之曰：“明德新民”。有体有用，有本末始终、先后之序，萃群弟子激励之、裁抑之，期蹈乎中庸而止，则诗之感发惩创、礼之增美释回、乐之消融荡涤，皆所以长善救失，去其过不及，以就乎中，所谓三代之材也。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&lt;div style="text-align: center;"&gt;&lt;img src="imgs/img_in_image_box_121_2413_223_2491.jpg" alt="Image" width="5%" /&gt;&lt;/div&gt;</w:t>
            </w:r>
          </w:p>
          <w:p>
            <w:pPr>
              <w:spacing w:line="336" w:lineRule="auto" w:before="0" w:after="60"/>
              <w:ind w:firstLine="480"/>
              <w:jc w:val="both"/>
            </w:pPr>
            <w:r>
              <w:rPr>
                <w:rFonts w:ascii="KaiTi" w:hAnsi="KaiTi" w:eastAsia="KaiTi"/>
                <w:b w:val="0"/>
                <w:sz w:val="24"/>
              </w:rPr>
              <w:t>第43则。“宋人空谈性命”。此语不知创自何人，扣盘扪烛者，从而和之。岂知程朱之言皆归实际，苟无心性，曷有事功？抑不识世之所谓事功者何等，乃与心性判而为二也。得非以“诈”与“力”有作用乎？“诚”与“敬”为守</w:t>
            </w:r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36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