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枯株乎？则圣人弥纶天地，化裁万物，乃事功之至大者。其源头乃在致中和，而所以致中和，则在戒慎恐惧宥密之中也。不幸圣道不明，所谓经济者亦不著，后世乃以权谲变诈智取术驭目为事功，是乃所云不诚无物者耳。无惑乎？正学日以衰微，邪说日以滋蔓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44则。彼人也，我人也，形气既隔，心之不同，殆如其面，情伪万变，何从知之？圣人能使天下为一家，中国为一人，无他也，诚而已。以私、以欲、以诈、以欺，则万变而不穷；以公、以理、以真、以实，则些子固无多也。立一诚于此，而万物之隐避、回惑、参差、杂错无不自呈露无所遁。于明镜之前而于明无伤、于诚无损。彼人也，我人也，其情与性吾知之，其肝与鬲吾见之，彼焉能自异而曰“尔为尔、我为我”乎？诚能动物其若斯乎？故曰：正大而万物之情见，易简而天下之理得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45则。君子上达，小人下达，中间无立脚处也。进得一层，又见一层，不容住歇。若有迫之不得不上者，或学问未到，精力不及，但一意向上去，不上不已，则竟达矣。退得一步又接一步，不肯住歇，又有引之不得不下者，或事势所迫，途径复滑，虽不欲向下去，不下不能，亦必达矣。上难而下易，君子所以朝乾乾夕惕若，小人所以宴安逸豫，至于身败名裂而不自惜也。孟子曰：“孳孳为善，舜之徒；孳孳为利，跖之徒。”夫舜与跖岂不远哉！原其初，一念之间耳。人欲自立，非忧勤惕厉，则何道之从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46则。德，有慧德之美，术，有智术之善，恒以疾得之。“天降大任，不先令动心忍性，则将有所不能”——此段议论孔子之所未及意；孟子少时，不恒厥居，母教既严，困约亦甚，实曾得力于此，故言之亲切乃尔也。贫贱忧戚，玉汝玉成，世乃亟思去之，不能一刻忍者，可谓辜负造物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47则。金鸦腾翥，六合清新，此天地之朝气也。人家兴盛，未有不乘此动作，为人何独不然？公私之别，理欲之殊，义理之分，皆乘朝气辨之。其贪冒沉溺、昧没于心胸、蔽翳于耳目者，皆暮气也.能令心体中恒存朝气，则为贤哲、为君子，不出乎此。一中暮气，则为狂愚、为不肖，亦何难矣！清明在躬，志气如神，可云，唯圣者能之耶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48则。天时有进退，家运有盛衰。数百年仕族，不仕亦士也。资禀不齐，识趣亦异，当剥而复之际，阴疑阳战，去而为农者有之，为商者有之，为工者亦有之矣。虽根荄未断，或可复萌，而客土寒泉，发生不易。人家无常盛不衰之理，所望贤能子孙，毋迷其途，毋绝其源，若涉大川，守正持坚，以达彼岸。诗云：“以似以绩，绩古之人。”古人者，后人所不及见；后人者，古人所不敢知。遐哉？邈乎？尚其有味于斯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三五二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