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Layout w:type="fixed"/>
      </w:tblPr>
      <w:tblGrid>
        <w:gridCol w:w="10323"/>
        <w:gridCol w:w="449"/>
      </w:tblGrid>
      <w:tr>
        <w:trPr>
          <w:trHeight w:val="16273" w:hRule="exact"/>
          <w:cantSplit/>
        </w:trPr>
        <w:tc>
          <w:tcPr>
            <w:tcW w:type="dxa" w:w="10323"/>
            <w:tcMar>
              <w:top w:w="170" w:type="dxa"/>
              <w:left w:w="170" w:type="dxa"/>
              <w:bottom w:w="170" w:type="dxa"/>
              <w:right w:w="170" w:type="dxa"/>
            </w:tcMar>
            <w:tcBorders>
              <w:top w:val="single" w:sz="8" w:space="0" w:color="auto"/>
              <w:left w:val="single" w:sz="8" w:space="0" w:color="auto"/>
              <w:bottom w:val="single" w:sz="8" w:space="0" w:color="auto"/>
              <w:right w:val="single" w:sz="8" w:space="0" w:color="auto"/>
            </w:tcBorders>
            <w:vAlign w:val="top"/>
          </w:tcPr>
          <w:p>
            <w:pPr>
              <w:spacing w:line="336" w:lineRule="auto" w:before="0" w:after="60"/>
              <w:ind w:firstLine="480"/>
              <w:jc w:val="both"/>
            </w:pPr>
            <w:r>
              <w:rPr>
                <w:rFonts w:ascii="KaiTi" w:hAnsi="KaiTi" w:eastAsia="KaiTi"/>
                <w:b w:val="0"/>
                <w:sz w:val="24"/>
              </w:rPr>
              <w:t>&lt;div style="text-align: center;"&gt;&lt;img src="imgs/img_in_image_box_85_444_181_519.jpg" alt="Image" width="5%" /&gt;&lt;/div&gt;</w:t>
            </w:r>
          </w:p>
          <w:p>
            <w:pPr>
              <w:spacing w:line="336" w:lineRule="auto" w:before="0" w:after="60"/>
              <w:ind w:firstLine="480"/>
              <w:jc w:val="both"/>
            </w:pPr>
            <w:r>
              <w:rPr>
                <w:rFonts w:ascii="KaiTi" w:hAnsi="KaiTi" w:eastAsia="KaiTi"/>
                <w:b w:val="0"/>
                <w:sz w:val="24"/>
              </w:rPr>
              <w:t>三五三</w:t>
            </w:r>
          </w:p>
          <w:p>
            <w:pPr>
              <w:spacing w:line="336" w:lineRule="auto" w:before="0" w:after="60"/>
              <w:ind w:firstLine="480"/>
              <w:jc w:val="both"/>
            </w:pPr>
            <w:r>
              <w:rPr>
                <w:rFonts w:ascii="KaiTi" w:hAnsi="KaiTi" w:eastAsia="KaiTi"/>
                <w:b w:val="0"/>
                <w:sz w:val="24"/>
              </w:rPr>
              <w:t>&lt;div style="text-align: center;"&gt;&lt;img src="imgs/img_in_image_box_88_2233_183_2307.jpg" alt="Image" width="5%" /&gt;&lt;/div&gt;</w:t>
            </w:r>
          </w:p>
          <w:p>
            <w:pPr>
              <w:spacing w:line="336" w:lineRule="auto" w:before="0" w:after="60"/>
              <w:ind w:firstLine="480"/>
              <w:jc w:val="both"/>
            </w:pPr>
            <w:r>
              <w:rPr>
                <w:rFonts w:ascii="KaiTi" w:hAnsi="KaiTi" w:eastAsia="KaiTi"/>
                <w:b w:val="0"/>
                <w:sz w:val="24"/>
              </w:rPr>
              <w:t>—以上48则，所反映的教育思想有杜氏家族的家庭德育观、教育时机观、家庭表率观、家庭苦乐观、家庭天资观等六个方面：（1）“怎样做人”的品行教育。从始至终贯穿着品行修养、怎样做人的教育，而在第1、20、21、36、41则中有更为集中的体现。（2)客观地强调进行早期教育的重要性。这集中体现在第2、3、14、15则中。强调早期教育比较适中。从小事教起，“防微杜渐”，杜氏家族看到了基础教育、习惯教育在人的一生中的重要性，看到了克服自私自利之心之类的道德品质教育应从孩提时代抓起。（3）确定家庭教育的原则是，身教重于言教，身教言教要统一。如第5则、第9则等。（4）反对溺爱子女，提倡“挫折教育”。而现代挫折教育的观念是针对人民生活水平提高和独生子女多的状况提出的，二者不谋而合。（5）学习和终身学习的思想。《论述》用很大的篇幅讲读书学习、做学问，有19则之多，内容有：学习、做学问的重要性；读书、做学问的目的；怎样读书、做学问；终身学习观；等等。其中有些观点和做法较新颖，如：学习做学问的重要性、读书做学问的目的、怎样读书做学问、终身学习观等。（6)杜氏教育中也有差异教育的思想。如第8则、第13则、第33则。</w:t>
            </w:r>
          </w:p>
          <w:p>
            <w:pPr>
              <w:spacing w:line="336" w:lineRule="auto" w:before="0" w:after="60"/>
              <w:ind w:firstLine="480"/>
              <w:jc w:val="both"/>
            </w:pPr>
            <w:r>
              <w:rPr>
                <w:rFonts w:ascii="KaiTi" w:hAnsi="KaiTi" w:eastAsia="KaiTi"/>
                <w:b w:val="0"/>
                <w:sz w:val="24"/>
              </w:rPr>
              <w:t>《述训》中也有一些受时代局限的糟粕，如“农工商不能化，惟士能化，以其学也”等，这是不可取的。</w:t>
            </w:r>
          </w:p>
          <w:p>
            <w:pPr>
              <w:spacing w:line="336" w:lineRule="auto" w:before="120" w:after="120"/>
              <w:jc w:val="left"/>
            </w:pPr>
            <w:r>
              <w:rPr>
                <w:rFonts w:ascii="SimSun" w:hAnsi="SimSun" w:eastAsia="SimSun"/>
                <w:b/>
                <w:sz w:val="26"/>
              </w:rPr>
              <w:t>3. 杜氏家谱中的其他家训</w:t>
            </w:r>
          </w:p>
          <w:p>
            <w:pPr>
              <w:spacing w:line="336" w:lineRule="auto" w:before="0" w:after="60"/>
              <w:ind w:firstLine="480"/>
              <w:jc w:val="both"/>
            </w:pPr>
            <w:r>
              <w:rPr>
                <w:rFonts w:ascii="KaiTi" w:hAnsi="KaiTi" w:eastAsia="KaiTi"/>
                <w:b w:val="0"/>
                <w:sz w:val="24"/>
              </w:rPr>
              <w:t>积德行仁悯苦贫，追钱讨债应相宜，困苦无措应减免，十家之中取一二。好言抚慰免债人，焚其契纸作舍施，持刁不偿控公庭，切莫婆心被人欺。我苟负人子孙殃，我肯吃亏神鬼助。勿因小忿伤同气，勿因微利失至亲，创业守成滋大道，尔曹莫坠先人绪。富贵之子尤可嘉，忠孝之子更可冀。贻后积德非积财，服人在理不在势。</w:t>
            </w:r>
          </w:p>
          <w:p>
            <w:pPr>
              <w:spacing w:line="336" w:lineRule="auto" w:before="0" w:after="60"/>
              <w:ind w:firstLine="480"/>
              <w:jc w:val="both"/>
            </w:pPr>
            <w:r>
              <w:rPr>
                <w:rFonts w:ascii="KaiTi" w:hAnsi="KaiTi" w:eastAsia="KaiTi"/>
                <w:b w:val="0"/>
                <w:sz w:val="24"/>
              </w:rPr>
              <w:t>欲为仕，须立志。品贵高而气贵下，行宜实心宜虚。贤者尔曹亲，恶者尔曹远。人方有欲要自省，朝夕补救正相宜。自知之明曰为贵，迷而不悟最可悲。勿以善小而不为，勿以恶小而为之。惟贤唯德受人敬，惟谨为慎可处事。为学当知有不足，处事当知留有余。浮躁骄纵难成器，强梁忌刻无长理。知耻忍辱扩胸腹，苦骨劳筋炼神。须臾不可萌者贪，从业终身不离敬。得来一誉虽荣耀，不如一诀启后人。</w:t>
            </w:r>
          </w:p>
          <w:p>
            <w:pPr>
              <w:spacing w:line="336" w:lineRule="auto" w:before="0" w:after="60"/>
              <w:ind w:firstLine="480"/>
              <w:jc w:val="both"/>
            </w:pPr>
            <w:r>
              <w:rPr>
                <w:rFonts w:ascii="KaiTi" w:hAnsi="KaiTi" w:eastAsia="KaiTi"/>
                <w:b w:val="0"/>
                <w:sz w:val="24"/>
              </w:rPr>
              <w:t>贫贱不可去为娼，境困不可去为盗，富而不可恃财力，贵而不可依权恃。有余由于有节，无成由于无志，多怨由于多欲，不明由于不公。孝以养亲，勤以胜人，敬以持身，和以睦邻。习一业专精一业，有志之人事竟成。忠厚之人福必厚，刻薄之人福必薄。欲积福以后先积德于前。益事日作一二件，益话日</w:t>
            </w:r>
          </w:p>
        </w:tc>
        <w:tc>
          <w:tcPr>
            <w:tcW w:type="dxa" w:w="449"/>
            <w:tcMar>
              <w:top w:w="113" w:type="dxa"/>
              <w:left w:w="28" w:type="dxa"/>
              <w:bottom w:w="113" w:type="dxa"/>
              <w:right w:w="28" w:type="dxa"/>
            </w:tcMar>
            <w:tcBorders>
              <w:top w:val="single" w:sz="8" w:space="0" w:color="auto"/>
              <w:left w:val="single" w:sz="8" w:space="0" w:color="auto"/>
              <w:bottom w:val="single" w:sz="8" w:space="0" w:color="auto"/>
              <w:right w:val="single" w:sz="8" w:space="0" w:color="auto"/>
            </w:tcBorders>
            <w:vAlign w:val="center"/>
          </w:tcPr>
          <w:p>
            <w:pPr>
              <w:spacing w:before="0" w:after="0" w:line="240" w:lineRule="auto"/>
              <w:jc w:val="center"/>
            </w:pPr>
            <w:r>
              <w:rPr>
                <w:rFonts w:ascii="SimSun" w:hAnsi="SimSun" w:eastAsia="SimSun"/>
                <w:b/>
                <w:sz w:val="24"/>
              </w:rPr>
              <w:t>渑</w:t>
            </w:r>
          </w:p>
          <w:p>
            <w:pPr>
              <w:spacing w:before="0" w:after="0" w:line="240" w:lineRule="auto"/>
              <w:jc w:val="center"/>
            </w:pPr>
            <w:r>
              <w:rPr>
                <w:rFonts w:ascii="SimSun" w:hAnsi="SimSun" w:eastAsia="SimSun"/>
                <w:b/>
                <w:sz w:val="24"/>
              </w:rPr>
              <w:t>池</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杜</w:t>
            </w:r>
          </w:p>
          <w:p>
            <w:pPr>
              <w:spacing w:before="0" w:after="0" w:line="240" w:lineRule="auto"/>
              <w:jc w:val="center"/>
            </w:pPr>
            <w:r>
              <w:rPr>
                <w:rFonts w:ascii="SimSun" w:hAnsi="SimSun" w:eastAsia="SimSun"/>
                <w:b/>
                <w:sz w:val="24"/>
              </w:rPr>
              <w:t>氏</w:t>
            </w:r>
          </w:p>
          <w:p>
            <w:pPr>
              <w:spacing w:before="0" w:after="0" w:line="240" w:lineRule="auto"/>
              <w:jc w:val="center"/>
            </w:pPr>
            <w:r>
              <w:rPr>
                <w:rFonts w:ascii="SimSun" w:hAnsi="SimSun" w:eastAsia="SimSun"/>
                <w:b/>
                <w:sz w:val="24"/>
              </w:rPr>
              <w:t>宗</w:t>
            </w:r>
          </w:p>
          <w:p>
            <w:pPr>
              <w:spacing w:before="0" w:after="0" w:line="240" w:lineRule="auto"/>
              <w:jc w:val="center"/>
            </w:pPr>
            <w:r>
              <w:rPr>
                <w:rFonts w:ascii="SimSun" w:hAnsi="SimSun" w:eastAsia="SimSun"/>
                <w:b/>
                <w:sz w:val="24"/>
              </w:rPr>
              <w:t>谱</w:t>
            </w:r>
          </w:p>
          <w:p>
            <w:pPr>
              <w:spacing w:before="0" w:after="0" w:line="240" w:lineRule="auto"/>
              <w:jc w:val="center"/>
            </w:pPr>
          </w:p>
          <w:p>
            <w:pPr>
              <w:spacing w:before="0" w:after="0" w:line="240" w:lineRule="auto"/>
              <w:jc w:val="center"/>
            </w:pPr>
          </w:p>
          <w:p>
            <w:pPr>
              <w:spacing w:before="0" w:after="0" w:line="240" w:lineRule="auto"/>
              <w:jc w:val="center"/>
            </w:pPr>
            <w:r>
              <w:rPr>
                <w:rFonts w:ascii="SimSun" w:hAnsi="SimSun" w:eastAsia="SimSun"/>
                <w:b/>
                <w:sz w:val="24"/>
              </w:rPr>
              <w:t>三</w:t>
            </w:r>
          </w:p>
          <w:p>
            <w:pPr>
              <w:spacing w:before="0" w:after="0" w:line="240" w:lineRule="auto"/>
              <w:jc w:val="center"/>
            </w:pPr>
            <w:r>
              <w:rPr>
                <w:rFonts w:ascii="SimSun" w:hAnsi="SimSun" w:eastAsia="SimSun"/>
                <w:b/>
                <w:sz w:val="24"/>
              </w:rPr>
              <w:t>百</w:t>
            </w:r>
          </w:p>
          <w:p>
            <w:pPr>
              <w:spacing w:before="0" w:after="0" w:line="240" w:lineRule="auto"/>
              <w:jc w:val="center"/>
            </w:pPr>
            <w:r>
              <w:rPr>
                <w:rFonts w:ascii="SimSun" w:hAnsi="SimSun" w:eastAsia="SimSun"/>
                <w:b/>
                <w:sz w:val="24"/>
              </w:rPr>
              <w:t>五</w:t>
            </w:r>
          </w:p>
          <w:p>
            <w:pPr>
              <w:spacing w:before="0" w:after="0" w:line="240" w:lineRule="auto"/>
              <w:jc w:val="center"/>
            </w:pPr>
            <w:r>
              <w:rPr>
                <w:rFonts w:ascii="SimSun" w:hAnsi="SimSun" w:eastAsia="SimSun"/>
                <w:b/>
                <w:sz w:val="24"/>
              </w:rPr>
              <w:t>十</w:t>
            </w:r>
          </w:p>
          <w:p>
            <w:pPr>
              <w:spacing w:before="0" w:after="0" w:line="240" w:lineRule="auto"/>
              <w:jc w:val="center"/>
            </w:pPr>
            <w:r>
              <w:rPr>
                <w:rFonts w:ascii="SimSun" w:hAnsi="SimSun" w:eastAsia="SimSun"/>
                <w:b/>
                <w:sz w:val="24"/>
              </w:rPr>
              <w:t>三</w:t>
            </w:r>
          </w:p>
        </w:tc>
      </w:tr>
    </w:tbl>
    <w:sectPr w:rsidR="00FC693F" w:rsidRPr="0006063C" w:rsidSect="00034616">
      <w:pgSz w:w="11906" w:h="16838"/>
      <w:pgMar w:top="283" w:right="567" w:bottom="283"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336" w:lineRule="auto"/>
    </w:pPr>
    <w:rPr>
      <w:rFonts w:ascii="KaiTi" w:hAnsi="KaiT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