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120" w:after="120"/>
              <w:jc w:val="left"/>
            </w:pPr>
            <w:r>
              <w:rPr>
                <w:rFonts w:ascii="SimSun" w:hAnsi="SimSun" w:eastAsia="SimSun"/>
                <w:b/>
                <w:sz w:val="26"/>
              </w:rPr>
              <w:t>3. 宗祠匾额与楹联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大门：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杜氏宗祠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注：此匾额为2008年重修渑池坻坞杜氏宗祠而设。木质黑底，阴刻金字。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洪洞迁民四祖一叶卜居崤渑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坻坞立家两门四派分播神州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注：渑池杜氏十八世杜建成撰。木质黑底，阴刻蓝字。上联指渑池杜氏乃明洪武年间从山西洪洞迁出，当时弟兄四人破锅分迁，其一居渑，名讳失考，称“流芳”公云；下联指流芳公居于渑池之坻坞西村（今称“上西村”），二世忠、孝分为东西两门，东门又分三光、三乐、三元共三派，西门另迁惟杜金一派有传。其后，渑池杜氏分迁于宜阳、洛宁、漾鼻等地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二门：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佑启后人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注：此额于门框上方，为清乾隆年间创修宗祠时建，阳文砖刻。2008年漆绘为金字。杜氏祖先以无量功德庇荫后代。建造祠堂，尊祖敬宗，意在启迪后人发扬祖德。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不染似莲花，经世何妨出世；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真空如水月，禅机即是文机。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注：此联转自山东滨州市杜家卧佛台私垫楹联。2008年重修宗祠时制，木质黑底，阴刻蓝字。颇为形象地反映出山东杜氏家族的思想内核，映衬出滨州杜氏家族久盛不衰的历史因缘。上联中，“不染似莲花”是个人的道德修养是为人处世的基础。“何妨”是福祸相依的辩证法，反映出为社会政治服务的“经世”思想和超越世俗功利的“出世”思想境界；下联中，反映出身在仕途而心向山林，身受衣食役使而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精神保持淡泊清静，儒释道三教合一的丰富精神世界和文学价值观。此语当为中华杜氏处世箴言。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大殿外：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甘棠重荫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注：此匾额木质黑底，阴刻蓝字。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周建国秦封爵唐拜相溯古三千年士族无双留衣冠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居京兆卜襄阳迁河南期后亿万世庶民有责兴中华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注：渑池杜氏十八世杜建成撰。上联记述了杜氏三千多年的历史。西周初，周成王时以桐叶封弟叔虞于唐（即后之晋国)，而将原封于唐地的尧帝后裔改封三六八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