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10323"/>
        <w:gridCol w:w="449"/>
      </w:tblGrid>
      <w:tr>
        <w:trPr>
          <w:trHeight w:val="16273" w:hRule="exact"/>
          <w:cantSplit/>
        </w:trPr>
        <w:tc>
          <w:tcPr>
            <w:tcW w:type="dxa" w:w="10323"/>
            <w:tcMar>
              <w:top w:w="170" w:type="dxa"/>
              <w:left w:w="170" w:type="dxa"/>
              <w:bottom w:w="170" w:type="dxa"/>
              <w:right w:w="170" w:type="dxa"/>
            </w:tcMar>
            <w:tcBorders>
              <w:top w:val="single" w:sz="8" w:space="0" w:color="auto"/>
              <w:left w:val="single" w:sz="8" w:space="0" w:color="auto"/>
              <w:bottom w:val="single" w:sz="8" w:space="0" w:color="auto"/>
              <w:right w:val="single" w:sz="8" w:space="0" w:color="auto"/>
            </w:tcBorders>
            <w:vAlign w:val="top"/>
          </w:tcPr>
          <w:p>
            <w:pPr>
              <w:spacing w:line="336" w:lineRule="auto" w:before="0" w:after="60"/>
              <w:ind w:firstLine="480"/>
              <w:jc w:val="both"/>
            </w:pPr>
            <w:r>
              <w:rPr>
                <w:rFonts w:ascii="KaiTi" w:hAnsi="KaiTi" w:eastAsia="KaiTi"/>
                <w:b w:val="0"/>
                <w:sz w:val="24"/>
              </w:rPr>
              <w:t>三七一</w:t>
            </w:r>
          </w:p>
          <w:p>
            <w:pPr>
              <w:spacing w:line="336" w:lineRule="auto" w:before="0" w:after="60"/>
              <w:ind w:firstLine="480"/>
              <w:jc w:val="both"/>
            </w:pPr>
            <w:r>
              <w:rPr>
                <w:rFonts w:ascii="KaiTi" w:hAnsi="KaiTi" w:eastAsia="KaiTi"/>
                <w:b w:val="0"/>
                <w:sz w:val="24"/>
              </w:rPr>
              <w:t>历，中外闻者为之短气，然教泽累世，继续弗替，已足以信今而传后。且群孙林立，儒业不坠，家声之振，厥有厚望。兹叙其大略，以备轩之采云尔。</w:t>
            </w:r>
          </w:p>
          <w:p>
            <w:pPr>
              <w:spacing w:line="336" w:lineRule="auto" w:before="0" w:after="60"/>
              <w:ind w:firstLine="480"/>
              <w:jc w:val="both"/>
            </w:pPr>
            <w:r>
              <w:rPr>
                <w:rFonts w:ascii="KaiTi" w:hAnsi="KaiTi" w:eastAsia="KaiTi"/>
                <w:b w:val="0"/>
                <w:sz w:val="24"/>
              </w:rPr>
              <w:t>丁酉科拔贡丙午科举人眷晚生张宾彤顿首拜撰</w:t>
            </w:r>
          </w:p>
          <w:p>
            <w:pPr>
              <w:spacing w:line="336" w:lineRule="auto" w:before="0" w:after="60"/>
              <w:ind w:firstLine="480"/>
              <w:jc w:val="both"/>
            </w:pPr>
            <w:r>
              <w:rPr>
                <w:rFonts w:ascii="KaiTi" w:hAnsi="KaiTi" w:eastAsia="KaiTi"/>
                <w:b w:val="0"/>
                <w:sz w:val="24"/>
              </w:rPr>
              <w:t>邑岁进士候选儒学训导世愚弟张金芝顿首拜书</w:t>
            </w:r>
          </w:p>
          <w:p>
            <w:pPr>
              <w:spacing w:line="336" w:lineRule="auto" w:before="0" w:after="60"/>
              <w:ind w:firstLine="480"/>
              <w:jc w:val="both"/>
            </w:pPr>
            <w:r>
              <w:rPr>
                <w:rFonts w:ascii="KaiTi" w:hAnsi="KaiTi" w:eastAsia="KaiTi"/>
                <w:b w:val="0"/>
                <w:sz w:val="24"/>
              </w:rPr>
              <w:t>（以下列亲眷、门下生、乡者、寿民等近百人“仝顿首”，人名略）</w:t>
            </w:r>
          </w:p>
          <w:p>
            <w:pPr>
              <w:spacing w:line="336" w:lineRule="auto" w:before="0" w:after="60"/>
              <w:ind w:firstLine="480"/>
              <w:jc w:val="both"/>
            </w:pPr>
            <w:r>
              <w:rPr>
                <w:rFonts w:ascii="KaiTi" w:hAnsi="KaiTi" w:eastAsia="KaiTi"/>
                <w:b w:val="0"/>
                <w:sz w:val="24"/>
              </w:rPr>
              <w:t>咸丰九年岁次己未十二月吉旦</w:t>
            </w:r>
          </w:p>
          <w:p>
            <w:pPr>
              <w:spacing w:line="336" w:lineRule="auto" w:before="0" w:after="60"/>
              <w:ind w:firstLine="480"/>
              <w:jc w:val="both"/>
            </w:pPr>
            <w:r>
              <w:rPr>
                <w:rFonts w:ascii="KaiTi" w:hAnsi="KaiTi" w:eastAsia="KaiTi"/>
                <w:b w:val="0"/>
                <w:sz w:val="24"/>
              </w:rPr>
              <w:t>祖祠之立创，于乾隆五十五年春月。经营缔造，盖非一日。其人其事，具勒诸石。口口口口口□□，继之者亦非易：嘉庆六年以后，创始之人，如从仁、廷铎，相继即世，廷用亦遇疾不起，乃择口口、廷鳌、百魁、修德、建财等代为经理，始于嘉庆十年十月，迄今凡十年。廷整等尽心经营，即完旧债新制。事毕，属记于余。余乃援笔而为之词。</w:t>
            </w:r>
          </w:p>
          <w:p>
            <w:pPr>
              <w:spacing w:line="336" w:lineRule="auto" w:before="0" w:after="60"/>
              <w:ind w:firstLine="480"/>
              <w:jc w:val="both"/>
            </w:pPr>
            <w:r>
              <w:rPr>
                <w:rFonts w:ascii="KaiTi" w:hAnsi="KaiTi" w:eastAsia="KaiTi"/>
                <w:b w:val="0"/>
                <w:sz w:val="24"/>
              </w:rPr>
              <w:t>乙卯中式含章撰生员星五书</w:t>
            </w:r>
          </w:p>
          <w:p>
            <w:pPr>
              <w:spacing w:line="336" w:lineRule="auto" w:before="0" w:after="60"/>
              <w:ind w:firstLine="480"/>
              <w:jc w:val="both"/>
            </w:pPr>
            <w:r>
              <w:rPr>
                <w:rFonts w:ascii="KaiTi" w:hAnsi="KaiTi" w:eastAsia="KaiTi"/>
                <w:b w:val="0"/>
                <w:sz w:val="24"/>
              </w:rPr>
              <w:t>立旗杆共费钱一百四十千</w:t>
            </w:r>
          </w:p>
          <w:p>
            <w:pPr>
              <w:spacing w:line="336" w:lineRule="auto" w:before="0" w:after="60"/>
              <w:ind w:firstLine="480"/>
              <w:jc w:val="both"/>
            </w:pPr>
            <w:r>
              <w:rPr>
                <w:rFonts w:ascii="KaiTi" w:hAnsi="KaiTi" w:eastAsia="KaiTi"/>
                <w:b w:val="0"/>
                <w:sz w:val="24"/>
              </w:rPr>
              <w:t>修舞台费钱四十千</w:t>
            </w:r>
          </w:p>
          <w:p>
            <w:pPr>
              <w:spacing w:line="336" w:lineRule="auto" w:before="0" w:after="60"/>
              <w:ind w:firstLine="480"/>
              <w:jc w:val="both"/>
            </w:pPr>
            <w:r>
              <w:rPr>
                <w:rFonts w:ascii="KaiTi" w:hAnsi="KaiTi" w:eastAsia="KaiTi"/>
                <w:b w:val="0"/>
                <w:sz w:val="24"/>
              </w:rPr>
              <w:t>入地一段坐落谢家湾东至路西至刑姓</w:t>
            </w:r>
          </w:p>
          <w:p>
            <w:pPr>
              <w:spacing w:line="336" w:lineRule="auto" w:before="0" w:after="60"/>
              <w:ind w:firstLine="480"/>
              <w:jc w:val="both"/>
            </w:pPr>
            <w:r>
              <w:rPr>
                <w:rFonts w:ascii="KaiTi" w:hAnsi="KaiTi" w:eastAsia="KaiTi"/>
                <w:b w:val="0"/>
                <w:sz w:val="24"/>
              </w:rPr>
              <w:t>南至河心北至张姓</w:t>
            </w:r>
          </w:p>
          <w:p>
            <w:pPr>
              <w:spacing w:line="336" w:lineRule="auto" w:before="0" w:after="60"/>
              <w:ind w:firstLine="480"/>
              <w:jc w:val="both"/>
            </w:pPr>
            <w:r>
              <w:rPr>
                <w:rFonts w:ascii="KaiTi" w:hAnsi="KaiTi" w:eastAsia="KaiTi"/>
                <w:b w:val="0"/>
                <w:sz w:val="24"/>
              </w:rPr>
              <w:t>&lt;div style="text-align: center;"&gt;&lt;img src="imgs/img_in_image_box_1277_709_1731_1541.jpg" alt="Image" width="23%" /&gt;&lt;/div&gt;</w:t>
            </w:r>
          </w:p>
          <w:p>
            <w:pPr>
              <w:spacing w:line="336" w:lineRule="auto" w:before="0" w:after="60"/>
              <w:ind w:firstLine="480"/>
              <w:jc w:val="both"/>
            </w:pPr>
            <w:r>
              <w:rPr>
                <w:rFonts w:ascii="KaiTi" w:hAnsi="KaiTi" w:eastAsia="KaiTi"/>
                <w:b w:val="0"/>
                <w:sz w:val="24"/>
              </w:rPr>
              <w:t>买杜振邦地一段坐落村西西东至界石西至坟顶费钱二十五千南至界石北至路</w:t>
            </w:r>
          </w:p>
          <w:p>
            <w:pPr>
              <w:spacing w:line="336" w:lineRule="auto" w:before="0" w:after="60"/>
              <w:ind w:firstLine="480"/>
              <w:jc w:val="both"/>
            </w:pPr>
            <w:r>
              <w:rPr>
                <w:rFonts w:ascii="KaiTi" w:hAnsi="KaiTi" w:eastAsia="KaiTi"/>
                <w:b w:val="0"/>
                <w:sz w:val="24"/>
              </w:rPr>
              <w:t>生员二春廷官布政司经历廷行廷宾廷重廷甫廷琬廷信孟宾林德天德兴德兴邦从九职立德元魁生员林魁存天文英文泰文成文德文秀万选生员文林进贤花生全德建福希圣有春荣春同翼全锁谷堆保娃乘云全立</w:t>
            </w:r>
          </w:p>
          <w:p>
            <w:pPr>
              <w:spacing w:line="336" w:lineRule="auto" w:before="0" w:after="60"/>
              <w:ind w:firstLine="480"/>
              <w:jc w:val="both"/>
            </w:pPr>
            <w:r>
              <w:rPr>
                <w:rFonts w:ascii="KaiTi" w:hAnsi="KaiTi" w:eastAsia="KaiTi"/>
                <w:b w:val="0"/>
                <w:sz w:val="24"/>
              </w:rPr>
              <w:t>嘉庆二十一年十月十六日</w:t>
            </w:r>
          </w:p>
          <w:p>
            <w:pPr>
              <w:spacing w:line="336" w:lineRule="auto" w:before="0" w:after="60"/>
              <w:ind w:firstLine="480"/>
              <w:jc w:val="both"/>
            </w:pPr>
            <w:r>
              <w:rPr>
                <w:rFonts w:ascii="KaiTi" w:hAnsi="KaiTi" w:eastAsia="KaiTi"/>
                <w:b w:val="0"/>
                <w:sz w:val="24"/>
              </w:rPr>
              <w:t>明万历年间，杜氏被敕赐义民后，立石旗杆，一九六六年被拆毁。一九七一年村中建戏台将旗杆分成三段，当做台柱。旗杆下之八仙及福禄寿石砌入台基。莲花座分解用为台阶，旗杆周围石翼八块，仅找到两块，已残缺。二零零八年重修祠堂，乃将旧部件一一收集，存诸祠内。</w:t>
            </w:r>
          </w:p>
          <w:p>
            <w:pPr>
              <w:spacing w:line="336" w:lineRule="auto" w:before="0" w:after="60"/>
              <w:ind w:firstLine="480"/>
              <w:jc w:val="both"/>
            </w:pPr>
            <w:r>
              <w:rPr>
                <w:rFonts w:ascii="KaiTi" w:hAnsi="KaiTi" w:eastAsia="KaiTi"/>
                <w:b w:val="0"/>
                <w:sz w:val="24"/>
              </w:rPr>
              <w:t>二零零八年农历十月初一日</w:t>
            </w:r>
          </w:p>
        </w:tc>
        <w:tc>
          <w:tcPr>
            <w:tcW w:type="dxa" w:w="449"/>
            <w:tcMar>
              <w:top w:w="113" w:type="dxa"/>
              <w:left w:w="28" w:type="dxa"/>
              <w:bottom w:w="113" w:type="dxa"/>
              <w:right w:w="28" w:type="dxa"/>
            </w:tcMar>
            <w:tcBorders>
              <w:top w:val="single" w:sz="8" w:space="0" w:color="auto"/>
              <w:left w:val="single" w:sz="8" w:space="0" w:color="auto"/>
              <w:bottom w:val="single" w:sz="8" w:space="0" w:color="auto"/>
              <w:right w:val="single" w:sz="8" w:space="0" w:color="auto"/>
            </w:tcBorders>
            <w:vAlign w:val="center"/>
          </w:tcPr>
          <w:p>
            <w:pPr>
              <w:spacing w:before="0" w:after="0" w:line="240" w:lineRule="auto"/>
              <w:jc w:val="center"/>
            </w:pPr>
            <w:r>
              <w:rPr>
                <w:rFonts w:ascii="SimSun" w:hAnsi="SimSun" w:eastAsia="SimSun"/>
                <w:b/>
                <w:sz w:val="24"/>
              </w:rPr>
              <w:t>渑</w:t>
            </w:r>
          </w:p>
          <w:p>
            <w:pPr>
              <w:spacing w:before="0" w:after="0" w:line="240" w:lineRule="auto"/>
              <w:jc w:val="center"/>
            </w:pPr>
            <w:r>
              <w:rPr>
                <w:rFonts w:ascii="SimSun" w:hAnsi="SimSun" w:eastAsia="SimSun"/>
                <w:b/>
                <w:sz w:val="24"/>
              </w:rPr>
              <w:t>池</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杜</w:t>
            </w:r>
          </w:p>
          <w:p>
            <w:pPr>
              <w:spacing w:before="0" w:after="0" w:line="240" w:lineRule="auto"/>
              <w:jc w:val="center"/>
            </w:pPr>
            <w:r>
              <w:rPr>
                <w:rFonts w:ascii="SimSun" w:hAnsi="SimSun" w:eastAsia="SimSun"/>
                <w:b/>
                <w:sz w:val="24"/>
              </w:rPr>
              <w:t>氏</w:t>
            </w:r>
          </w:p>
          <w:p>
            <w:pPr>
              <w:spacing w:before="0" w:after="0" w:line="240" w:lineRule="auto"/>
              <w:jc w:val="center"/>
            </w:pPr>
            <w:r>
              <w:rPr>
                <w:rFonts w:ascii="SimSun" w:hAnsi="SimSun" w:eastAsia="SimSun"/>
                <w:b/>
                <w:sz w:val="24"/>
              </w:rPr>
              <w:t>宗</w:t>
            </w:r>
          </w:p>
          <w:p>
            <w:pPr>
              <w:spacing w:before="0" w:after="0" w:line="240" w:lineRule="auto"/>
              <w:jc w:val="center"/>
            </w:pPr>
            <w:r>
              <w:rPr>
                <w:rFonts w:ascii="SimSun" w:hAnsi="SimSun" w:eastAsia="SimSun"/>
                <w:b/>
                <w:sz w:val="24"/>
              </w:rPr>
              <w:t>谱</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三</w:t>
            </w:r>
          </w:p>
          <w:p>
            <w:pPr>
              <w:spacing w:before="0" w:after="0" w:line="240" w:lineRule="auto"/>
              <w:jc w:val="center"/>
            </w:pPr>
            <w:r>
              <w:rPr>
                <w:rFonts w:ascii="SimSun" w:hAnsi="SimSun" w:eastAsia="SimSun"/>
                <w:b/>
                <w:sz w:val="24"/>
              </w:rPr>
              <w:t>百</w:t>
            </w:r>
          </w:p>
          <w:p>
            <w:pPr>
              <w:spacing w:before="0" w:after="0" w:line="240" w:lineRule="auto"/>
              <w:jc w:val="center"/>
            </w:pPr>
            <w:r>
              <w:rPr>
                <w:rFonts w:ascii="SimSun" w:hAnsi="SimSun" w:eastAsia="SimSun"/>
                <w:b/>
                <w:sz w:val="24"/>
              </w:rPr>
              <w:t>七</w:t>
            </w:r>
          </w:p>
          <w:p>
            <w:pPr>
              <w:spacing w:before="0" w:after="0" w:line="240" w:lineRule="auto"/>
              <w:jc w:val="center"/>
            </w:pPr>
            <w:r>
              <w:rPr>
                <w:rFonts w:ascii="SimSun" w:hAnsi="SimSun" w:eastAsia="SimSun"/>
                <w:b/>
                <w:sz w:val="24"/>
              </w:rPr>
              <w:t>十</w:t>
            </w:r>
          </w:p>
          <w:p>
            <w:pPr>
              <w:spacing w:before="0" w:after="0" w:line="240" w:lineRule="auto"/>
              <w:jc w:val="center"/>
            </w:pPr>
            <w:r>
              <w:rPr>
                <w:rFonts w:ascii="SimSun" w:hAnsi="SimSun" w:eastAsia="SimSun"/>
                <w:b/>
                <w:sz w:val="24"/>
              </w:rPr>
              <w:t>一</w:t>
            </w:r>
          </w:p>
        </w:tc>
      </w:tr>
    </w:tbl>
    <w:sectPr w:rsidR="00FC693F" w:rsidRPr="0006063C" w:rsidSect="00034616">
      <w:pgSz w:w="11906" w:h="16838"/>
      <w:pgMar w:top="283" w:right="567" w:bottom="283"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36" w:lineRule="auto"/>
    </w:pPr>
    <w:rPr>
      <w:rFonts w:ascii="KaiTi" w:hAnsi="KaiT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