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冠。岂彰寿亭之勋，不借梨园子弟乎？爰鸠工庇材，经营于龙见、火见，图庆于昏中。定约计百金有奇，而节税之华、丹腹之美，不数月而增辉矣。公之输财好施，类如是。宜宰尹乡先生嘉许，而不置是。岂不可以求垂不朽乎！然公性恬退，谓功仅累黍，何敢言镌勒贞珉。而村舍乡邻等，深嘉其功，属余为文，余曰：黄冈竹楼、超然台榭，犹皆传其姓字。兰亭不序，则右军不传矣！微君等言，余亦不忍其湮没也。且无以为将来劝矣。因不辞陋，爰笔而为之记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邑廪膳生员孟玺撰生员孟陈尧书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天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内有胞兄允会照应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附：早春游东堂沟一律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共步深椒禅，春迟翠尚微。疏枝饶古趣，叠嶂列重围。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醉把乡携犹，崤倾杜办肥。不才惭落帽，强伴咏而归。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芮见龙山西柴万盛号三义号杨万盛号赵如松王者相张永年杜口口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杜进忠杜如桃杜从仁杜廷俊杜奉天监生杜承天杜文章仝立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大清乾隆伍拾壹年岁次丙午菊月吉旦石匠宁大德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三八一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公讳朝宦，字公绅，邑北下营村人，口口□□□口□，居行三，孝友成性，耕读传家，配郭氏，口口淑媛德闲佳妇口口口祥庆口家□矣。子三人、孙三人、会孙七、元孙四，□□绳绳，方兴未艾，□口公之夫妇寿终□□合葬于村东北。至嘉庆庚申口之子俱已去世，孙学□与曾孙有口等恐日久莫辨，因伐石志墓，永垂不朽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龙飞嘉庆五年三月口口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孙学纯口□口□学海有□曾孙有德有□有口有□有祥有泰元孙永清永利永福永成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注：碑在洛宁县河底镇下营村门外，当石凳、吃饭桌用。2009年3月与杜君安查访拍照整理。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src="imgs/img_in_image_box_1274_1407_1869_2582.jpg" alt="Image" width="28%"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