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凡事不记则不明，不记之于石则明不彰，欲求远不休，有必先书之于石，以铭其疆界。则地邻不得侵，小宵不得骗，施主不得悔，然后香火之地得以万世常昭，久而不少矣。刻之于石，良有以也。是为序。</w:t>
            </w:r>
          </w:p>
          <w:p>
            <w:pPr>
              <w:spacing w:line="336" w:lineRule="auto" w:before="0" w:after="60"/>
              <w:ind w:firstLine="480"/>
              <w:jc w:val="both"/>
            </w:pPr>
            <w:r>
              <w:rPr>
                <w:rFonts w:ascii="KaiTi" w:hAnsi="KaiTi" w:eastAsia="KaiTi"/>
                <w:b w:val="0"/>
                <w:sz w:val="24"/>
              </w:rPr>
              <w:t>计开香火地亩：</w:t>
            </w:r>
          </w:p>
          <w:p>
            <w:pPr>
              <w:spacing w:line="336" w:lineRule="auto" w:before="0" w:after="60"/>
              <w:ind w:firstLine="480"/>
              <w:jc w:val="both"/>
            </w:pPr>
            <w:r>
              <w:rPr>
                <w:rFonts w:ascii="KaiTi" w:hAnsi="KaiTi" w:eastAsia="KaiTi"/>
                <w:b w:val="0"/>
                <w:sz w:val="24"/>
              </w:rPr>
              <w:t>旧香火地庙前路东地乙段东至河心西至路南至路北至河心</w:t>
            </w:r>
          </w:p>
          <w:p>
            <w:pPr>
              <w:spacing w:line="336" w:lineRule="auto" w:before="0" w:after="60"/>
              <w:ind w:firstLine="480"/>
              <w:jc w:val="both"/>
            </w:pPr>
            <w:r>
              <w:rPr>
                <w:rFonts w:ascii="KaiTi" w:hAnsi="KaiTi" w:eastAsia="KaiTi"/>
                <w:b w:val="0"/>
                <w:sz w:val="24"/>
              </w:rPr>
              <w:t>路西地乙段东至路西至堰南至路</w:t>
            </w:r>
          </w:p>
          <w:p>
            <w:pPr>
              <w:spacing w:line="336" w:lineRule="auto" w:before="0" w:after="60"/>
              <w:ind w:firstLine="480"/>
              <w:jc w:val="both"/>
            </w:pPr>
            <w:r>
              <w:rPr>
                <w:rFonts w:ascii="KaiTi" w:hAnsi="KaiTi" w:eastAsia="KaiTi"/>
                <w:b w:val="0"/>
                <w:sz w:val="24"/>
              </w:rPr>
              <w:t>庙西地一段东至庙西至堰南至路北至河心至嘉庆三年经管钱粮人王玉俊李振德杜廷梅杜迪义续置口派老房屋口熟地乙分坐</w:t>
            </w:r>
          </w:p>
          <w:p>
            <w:pPr>
              <w:spacing w:line="336" w:lineRule="auto" w:before="0" w:after="60"/>
              <w:ind w:firstLine="480"/>
              <w:jc w:val="both"/>
            </w:pPr>
            <w:r>
              <w:rPr>
                <w:rFonts w:ascii="KaiTi" w:hAnsi="KaiTi" w:eastAsia="KaiTi"/>
                <w:b w:val="0"/>
                <w:sz w:val="24"/>
              </w:rPr>
              <w:t>&lt;div style="text-align: center;"&gt;&lt;img src="imgs/img_in_image_box_1316_258_1834_1167.jpg" alt="Image" width="23%" /&gt;&lt;/div&gt;</w:t>
            </w:r>
          </w:p>
          <w:p>
            <w:pPr>
              <w:spacing w:line="336" w:lineRule="auto" w:before="0" w:after="60"/>
              <w:ind w:firstLine="480"/>
              <w:jc w:val="both"/>
            </w:pPr>
            <w:r>
              <w:rPr>
                <w:rFonts w:ascii="KaiTi" w:hAnsi="KaiTi" w:eastAsia="KaiTi"/>
                <w:b w:val="0"/>
                <w:sz w:val="24"/>
              </w:rPr>
              <w:t>南至口东截古路西截路北至口口截口路西截口□落西圪塔价钱六十八千粮三升三合东至官地西至路嘉庆六年岁次乙丑闰六月吉日功德主王玉俊李良德同立</w:t>
            </w:r>
          </w:p>
          <w:p>
            <w:pPr>
              <w:spacing w:line="336" w:lineRule="auto" w:before="0" w:after="60"/>
              <w:ind w:firstLine="480"/>
              <w:jc w:val="both"/>
            </w:pPr>
            <w:r>
              <w:rPr>
                <w:rFonts w:ascii="KaiTi" w:hAnsi="KaiTi" w:eastAsia="KaiTi"/>
                <w:b w:val="0"/>
                <w:sz w:val="24"/>
              </w:rPr>
              <w:t>公讳芳，字国香，明之嘉靖人也。高祖廪膳生员跃龙公第四子，配范氏，生平勤俭醇谨，克继家声，其卒也，始葬于洼皮岭，后移葬今之茔下。乾隆五十二年，曾孙等乃于此地葬焉。生三子：长槐，初葬于缸窑沟，后迁葬今茔之东北，乾隆五十一年始同葬于茔左；次栓，葬于北大平口口，移葬于南大平。生二女：长适天坛李姓，次适仁村秦姓，孙等恐其久而湮没，故勒石以示后焉。</w:t>
            </w:r>
          </w:p>
          <w:p>
            <w:pPr>
              <w:spacing w:line="336" w:lineRule="auto" w:before="0" w:after="60"/>
              <w:ind w:firstLine="480"/>
              <w:jc w:val="both"/>
            </w:pPr>
            <w:r>
              <w:rPr>
                <w:rFonts w:ascii="KaiTi" w:hAnsi="KaiTi" w:eastAsia="KaiTi"/>
                <w:b w:val="0"/>
                <w:sz w:val="24"/>
              </w:rPr>
              <w:t>时嘉庆六年岁次辛酉谷旦</w:t>
            </w:r>
          </w:p>
          <w:p>
            <w:pPr>
              <w:spacing w:line="336" w:lineRule="auto" w:before="0" w:after="60"/>
              <w:ind w:firstLine="480"/>
              <w:jc w:val="both"/>
            </w:pPr>
            <w:r>
              <w:rPr>
                <w:rFonts w:ascii="KaiTi" w:hAnsi="KaiTi" w:eastAsia="KaiTi"/>
                <w:b w:val="0"/>
                <w:sz w:val="24"/>
              </w:rPr>
              <w:t>尝思畴行口行水居其口口口口是以先五行而冠六府□□口口之地中有水谓师师者口口口口合也先王以建万国亲□□□□并□丧无得往来井井之□□□□毕或在东河口泉工，或在南坻坞□口德杜天德等念涸辄之口口列可食男妇老幼莫不□（下缺）</w:t>
            </w:r>
          </w:p>
          <w:p>
            <w:pPr>
              <w:spacing w:line="336" w:lineRule="auto" w:before="0" w:after="60"/>
              <w:ind w:firstLine="480"/>
              <w:jc w:val="both"/>
            </w:pPr>
            <w:r>
              <w:rPr>
                <w:rFonts w:ascii="KaiTi" w:hAnsi="KaiTi" w:eastAsia="KaiTi"/>
                <w:b w:val="0"/>
                <w:sz w:val="24"/>
              </w:rPr>
              <w:t>&lt;div style="text-align: center;"&gt;&lt;img src="imgs/img_in_image_box_1354_1488_1825_2721.jpg" alt="Image" width="21%" /&gt;&lt;/div&gt;</w:t>
            </w:r>
          </w:p>
          <w:p>
            <w:pPr>
              <w:spacing w:line="336" w:lineRule="auto" w:before="0" w:after="60"/>
              <w:ind w:firstLine="480"/>
              <w:jc w:val="both"/>
            </w:pPr>
            <w:r>
              <w:rPr>
                <w:rFonts w:ascii="KaiTi" w:hAnsi="KaiTi" w:eastAsia="KaiTi"/>
                <w:b w:val="0"/>
                <w:sz w:val="24"/>
              </w:rPr>
              <w:t>&lt;div style="text-align: center;"&gt;&lt;img src="imgs/img_in_image_box_1937_520_2048_606.jpg" alt="Image" width="5%" /&gt;&lt;/div&gt;</w:t>
            </w:r>
          </w:p>
          <w:p>
            <w:pPr>
              <w:spacing w:line="336" w:lineRule="auto" w:before="0" w:after="60"/>
              <w:ind w:firstLine="480"/>
              <w:jc w:val="both"/>
            </w:pPr>
            <w:r>
              <w:rPr>
                <w:rFonts w:ascii="KaiTi" w:hAnsi="KaiTi" w:eastAsia="KaiTi"/>
                <w:b w:val="0"/>
                <w:sz w:val="24"/>
              </w:rPr>
              <w:t>三八二</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三</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八</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二</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