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勤，治家于俭，率弟侄辈等，躬耕南亩，炙肤足不避其烦，胼手胝足不辞其艰，俾自己不足之家，渐为小康，治家甚严而教更厉，使弟侄辈不但俱能识字又能通诗书达礼节，皆公严教所致，家康而后仍能克勤克俭，恭让不骄，终嘱告诫吾辈：先人遗规乃耕读，念伯父创业之艰，铭诸肺腑，怀情难忘，故将生平之德略述梗概，刻于墓石以示不朽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侄：宗洁立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中华民国二十九年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讳鸿筠，长江公之四子也。葬黑山洼，长子鸿宾，次子鸿仪，三子鸿声附焉。因茔域地狭，乃归葬于公于祖茔之次，其右上则伯父杏林公、再上则祖林川公也。公生而颖异，读书聪敏绝伦，惜天不假年，二十有二而殁。配庞太孺人，亦甫二十一岁，抚膺号泣，痛不欲生，转念继嗣无人，先夫血食何托，乃取长兄鸿宾公次子玉振为嗣，抚字恩勤，冀承夫祀。不意过门数载，玉振又殁。不得已，再取堂兄景春公次子玉珍为嗣，以长以教，俾至成立。苦守冰霜三十载焉。节孝雍睦，人所同钦。玉珍亲承燕翼，未遂乌私，略述梗概，以志不朽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男玉珍、孙修德立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中华民国三十五年二月下浣谷旦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src="imgs/img_in_image_box_1436_740_1808_1529.jpg" alt="Image" width="18%"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和尚原系邑岭头村贾氏子。儿嬉时，即谨步履、寡声色，言谈举动与他儿异。甫十岁，人山神庙为僧，奉佛法于隆遇法师，亲爱恭顺，师弟情感极为周密，既入佛门，则依三皈、守五戒，深得清净真理。与人言，恂恂如也。山神庙原有山田少许，竭力耕耘，仅免饥寒，持身俭约，量入为出，积资蓄财，将庙之破漏倒塌者，斟酌先后，次第修理，焕然一新。又添补庙内用具，以便拜献之需。迄今，庙貌不至倾颓，器具赖以完整，皆和尚之力也。忽于民国三十七年阴十月二日无病而逝，赖其挚友张庚午、张振德、杜忠信、张涧溪、杜得登、杜忠山、杜福钧及五社人等，为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src="imgs/img_in_image_box_937_2011_1818_2565.jpg" alt="Image" width="43%"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