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91" w:rsidRDefault="00A94300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Análise espacial do desempenho dos alunos do ensino fundamental no Sul/Sudoeste de Minas Gerais</w:t>
      </w:r>
    </w:p>
    <w:p w:rsidR="009F3D91" w:rsidRDefault="009F3D91">
      <w:pPr>
        <w:rPr>
          <w:rFonts w:ascii="Times New Roman" w:hAnsi="Times New Roman" w:cs="Times New Roman"/>
          <w:szCs w:val="24"/>
        </w:rPr>
      </w:pPr>
    </w:p>
    <w:p w:rsidR="009F3D91" w:rsidRDefault="00A94300">
      <w:pPr>
        <w:jc w:val="right"/>
      </w:pPr>
      <w:r>
        <w:rPr>
          <w:rFonts w:ascii="Times New Roman" w:hAnsi="Times New Roman" w:cs="Times New Roman"/>
          <w:b/>
          <w:szCs w:val="24"/>
        </w:rPr>
        <w:t xml:space="preserve">Alex </w:t>
      </w:r>
      <w:proofErr w:type="spellStart"/>
      <w:r>
        <w:rPr>
          <w:rFonts w:ascii="Times New Roman" w:hAnsi="Times New Roman" w:cs="Times New Roman"/>
          <w:b/>
          <w:szCs w:val="24"/>
        </w:rPr>
        <w:t>Donizeti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do Rosário</w:t>
      </w:r>
      <w:r>
        <w:rPr>
          <w:rStyle w:val="FootnoteAnchor"/>
          <w:rFonts w:ascii="Times New Roman" w:hAnsi="Times New Roman" w:cs="Times New Roman"/>
          <w:b/>
          <w:szCs w:val="24"/>
        </w:rPr>
        <w:footnoteReference w:id="1"/>
      </w:r>
    </w:p>
    <w:p w:rsidR="009F3D91" w:rsidRDefault="00A94300">
      <w:pPr>
        <w:jc w:val="right"/>
      </w:pPr>
      <w:r>
        <w:rPr>
          <w:rFonts w:ascii="Times New Roman" w:hAnsi="Times New Roman" w:cs="Times New Roman"/>
          <w:b/>
          <w:szCs w:val="24"/>
        </w:rPr>
        <w:t>Lincoln Frias</w:t>
      </w:r>
      <w:r>
        <w:rPr>
          <w:rStyle w:val="FootnoteAnchor"/>
          <w:rFonts w:ascii="Times New Roman" w:hAnsi="Times New Roman" w:cs="Times New Roman"/>
          <w:b/>
          <w:szCs w:val="24"/>
        </w:rPr>
        <w:footnoteReference w:id="2"/>
      </w:r>
    </w:p>
    <w:p w:rsidR="009F3D91" w:rsidRDefault="00A94300">
      <w:pPr>
        <w:jc w:val="right"/>
      </w:pPr>
      <w:r>
        <w:rPr>
          <w:rFonts w:ascii="Times New Roman" w:hAnsi="Times New Roman" w:cs="Times New Roman"/>
          <w:b/>
          <w:szCs w:val="24"/>
        </w:rPr>
        <w:t>Patrícia de Siqueira Ramos</w:t>
      </w:r>
      <w:r>
        <w:rPr>
          <w:rStyle w:val="FootnoteAnchor"/>
          <w:rFonts w:ascii="Times New Roman" w:hAnsi="Times New Roman" w:cs="Times New Roman"/>
          <w:b/>
          <w:szCs w:val="24"/>
        </w:rPr>
        <w:footnoteReference w:id="3"/>
      </w:r>
    </w:p>
    <w:p w:rsidR="009F3D91" w:rsidRDefault="00A94300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b/>
          <w:szCs w:val="24"/>
        </w:rPr>
        <w:t>Introdução</w:t>
      </w:r>
    </w:p>
    <w:p w:rsidR="009F3D91" w:rsidRDefault="009F3D91">
      <w:pPr>
        <w:pStyle w:val="PargrafodaLista"/>
        <w:ind w:left="1080"/>
        <w:rPr>
          <w:rFonts w:ascii="Times New Roman" w:hAnsi="Times New Roman" w:cs="Times New Roman"/>
          <w:b/>
          <w:szCs w:val="24"/>
        </w:rPr>
      </w:pPr>
    </w:p>
    <w:p w:rsidR="009F3D91" w:rsidRDefault="00A94300">
      <w:r>
        <w:rPr>
          <w:rFonts w:ascii="Times New Roman" w:hAnsi="Times New Roman" w:cs="Times New Roman"/>
          <w:szCs w:val="24"/>
        </w:rPr>
        <w:tab/>
        <w:t>A educação é uma política pública central para o desenvolvimento de um país.</w:t>
      </w:r>
      <w:r>
        <w:rPr>
          <w:rFonts w:ascii="Times New Roman" w:hAnsi="Times New Roman" w:cs="Times New Roman"/>
          <w:szCs w:val="24"/>
        </w:rPr>
        <w:t xml:space="preserve"> Por isso, a preocupação com a qualidade da educação ofertada aos alunos tem mobilizado a sociedade em prol de uma melhoria constante no processo ensino-aprendizagem. O objetivo deste estudo é investigar se o desempenho dos alunos do ensino fundamental ten</w:t>
      </w:r>
      <w:r>
        <w:rPr>
          <w:rFonts w:ascii="Times New Roman" w:hAnsi="Times New Roman" w:cs="Times New Roman"/>
          <w:szCs w:val="24"/>
        </w:rPr>
        <w:t xml:space="preserve">de a </w:t>
      </w:r>
      <w:proofErr w:type="gramStart"/>
      <w:r>
        <w:rPr>
          <w:rFonts w:ascii="Times New Roman" w:hAnsi="Times New Roman" w:cs="Times New Roman"/>
          <w:szCs w:val="24"/>
        </w:rPr>
        <w:t>ser</w:t>
      </w:r>
      <w:proofErr w:type="gramEnd"/>
      <w:r>
        <w:rPr>
          <w:rFonts w:ascii="Times New Roman" w:hAnsi="Times New Roman" w:cs="Times New Roman"/>
          <w:szCs w:val="24"/>
        </w:rPr>
        <w:t xml:space="preserve"> semelhante em cidades próximas umas das outras. Serão analisadas as notas médias dos </w:t>
      </w:r>
      <w:proofErr w:type="gramStart"/>
      <w:r>
        <w:rPr>
          <w:rFonts w:ascii="Times New Roman" w:hAnsi="Times New Roman" w:cs="Times New Roman"/>
          <w:szCs w:val="24"/>
        </w:rPr>
        <w:t>alunos</w:t>
      </w:r>
      <w:proofErr w:type="gramEnd"/>
      <w:r>
        <w:rPr>
          <w:rFonts w:ascii="Times New Roman" w:hAnsi="Times New Roman" w:cs="Times New Roman"/>
          <w:szCs w:val="24"/>
        </w:rPr>
        <w:t xml:space="preserve"> do 5</w:t>
      </w:r>
      <w:r>
        <w:rPr>
          <w:rFonts w:ascii="Times New Roman" w:hAnsi="Times New Roman" w:cs="Times New Roman"/>
          <w:szCs w:val="24"/>
          <w:vertAlign w:val="superscript"/>
        </w:rPr>
        <w:t>o</w:t>
      </w:r>
      <w:r>
        <w:rPr>
          <w:rFonts w:ascii="Times New Roman" w:hAnsi="Times New Roman" w:cs="Times New Roman"/>
          <w:szCs w:val="24"/>
        </w:rPr>
        <w:t xml:space="preserve"> ano das escolas municipais da mesorregião Sul/Sudoeste de Minas Gerais (SSM) na Prova Brasil de 2015 em língua portuguesa e matemática. Portanto, o o</w:t>
      </w:r>
      <w:r>
        <w:rPr>
          <w:rFonts w:ascii="Times New Roman" w:hAnsi="Times New Roman" w:cs="Times New Roman"/>
          <w:szCs w:val="24"/>
        </w:rPr>
        <w:t>bjetivo é oferecer um retrato do desempenho dos alunos do Ensino Fundamental I (1</w:t>
      </w:r>
      <w:r>
        <w:rPr>
          <w:rFonts w:ascii="Times New Roman" w:hAnsi="Times New Roman" w:cs="Times New Roman"/>
          <w:szCs w:val="24"/>
          <w:vertAlign w:val="superscript"/>
        </w:rPr>
        <w:t>o</w:t>
      </w:r>
      <w:r>
        <w:rPr>
          <w:rFonts w:ascii="Times New Roman" w:hAnsi="Times New Roman" w:cs="Times New Roman"/>
          <w:szCs w:val="24"/>
        </w:rPr>
        <w:t xml:space="preserve"> ao 5</w:t>
      </w:r>
      <w:r>
        <w:rPr>
          <w:rFonts w:ascii="Times New Roman" w:hAnsi="Times New Roman" w:cs="Times New Roman"/>
          <w:szCs w:val="24"/>
          <w:vertAlign w:val="superscript"/>
        </w:rPr>
        <w:t>o</w:t>
      </w:r>
      <w:r>
        <w:rPr>
          <w:rFonts w:ascii="Times New Roman" w:hAnsi="Times New Roman" w:cs="Times New Roman"/>
          <w:szCs w:val="24"/>
        </w:rPr>
        <w:t xml:space="preserve"> ano), não incluindo as escolas estaduais, restringindo a análise apenas às escolas municipais. </w:t>
      </w:r>
    </w:p>
    <w:p w:rsidR="009F3D91" w:rsidRDefault="009F3D91">
      <w:pPr>
        <w:ind w:firstLine="360"/>
        <w:rPr>
          <w:rFonts w:ascii="Times New Roman" w:hAnsi="Times New Roman" w:cs="Times New Roman"/>
          <w:szCs w:val="24"/>
        </w:rPr>
      </w:pPr>
    </w:p>
    <w:p w:rsidR="009F3D91" w:rsidRDefault="00A943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Material e métodos </w:t>
      </w:r>
    </w:p>
    <w:p w:rsidR="009F3D91" w:rsidRDefault="009F3D91">
      <w:pPr>
        <w:ind w:firstLine="360"/>
        <w:rPr>
          <w:rFonts w:ascii="Times New Roman" w:hAnsi="Times New Roman" w:cs="Times New Roman"/>
          <w:szCs w:val="24"/>
        </w:rPr>
      </w:pPr>
    </w:p>
    <w:p w:rsidR="009F3D91" w:rsidRDefault="00A94300">
      <w:pPr>
        <w:ind w:firstLine="360"/>
      </w:pPr>
      <w:r>
        <w:rPr>
          <w:rFonts w:ascii="Times New Roman" w:hAnsi="Times New Roman" w:cs="Times New Roman"/>
          <w:szCs w:val="24"/>
        </w:rPr>
        <w:tab/>
        <w:t xml:space="preserve">Esta pesquisa utilizou dados do </w:t>
      </w:r>
      <w:r>
        <w:rPr>
          <w:rFonts w:ascii="Times New Roman" w:hAnsi="Times New Roman" w:cs="Times New Roman"/>
          <w:i/>
          <w:iCs/>
          <w:szCs w:val="24"/>
        </w:rPr>
        <w:t xml:space="preserve">Atlas Brasil </w:t>
      </w:r>
      <w:r>
        <w:rPr>
          <w:rFonts w:ascii="Times New Roman" w:hAnsi="Times New Roman" w:cs="Times New Roman"/>
          <w:szCs w:val="24"/>
        </w:rPr>
        <w:t>(ww</w:t>
      </w:r>
      <w:r>
        <w:rPr>
          <w:rFonts w:ascii="Times New Roman" w:hAnsi="Times New Roman" w:cs="Times New Roman"/>
          <w:szCs w:val="24"/>
        </w:rPr>
        <w:t>w.atlasbrasil.org.br)</w:t>
      </w:r>
      <w:proofErr w:type="gramStart"/>
      <w:r>
        <w:rPr>
          <w:rFonts w:ascii="Times New Roman" w:hAnsi="Times New Roman" w:cs="Times New Roman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Cs w:val="24"/>
        </w:rPr>
        <w:t xml:space="preserve">e da </w:t>
      </w:r>
      <w:r>
        <w:rPr>
          <w:rFonts w:ascii="Times New Roman" w:hAnsi="Times New Roman" w:cs="Times New Roman"/>
          <w:i/>
          <w:iCs/>
          <w:szCs w:val="24"/>
        </w:rPr>
        <w:t>Prova Brasil 2015</w:t>
      </w:r>
      <w:r>
        <w:rPr>
          <w:rFonts w:ascii="Times New Roman" w:hAnsi="Times New Roman" w:cs="Times New Roman"/>
          <w:szCs w:val="24"/>
        </w:rPr>
        <w:t xml:space="preserve"> (portal.inep.gov.br/</w:t>
      </w:r>
      <w:proofErr w:type="spellStart"/>
      <w:r>
        <w:rPr>
          <w:rFonts w:ascii="Times New Roman" w:hAnsi="Times New Roman" w:cs="Times New Roman"/>
          <w:szCs w:val="24"/>
        </w:rPr>
        <w:t>microdados</w:t>
      </w:r>
      <w:proofErr w:type="spellEnd"/>
      <w:r>
        <w:rPr>
          <w:rFonts w:ascii="Times New Roman" w:hAnsi="Times New Roman" w:cs="Times New Roman"/>
          <w:szCs w:val="24"/>
        </w:rPr>
        <w:t xml:space="preserve">). Eles foram tratados através da linguagem </w:t>
      </w:r>
      <w:r>
        <w:rPr>
          <w:rFonts w:ascii="Times New Roman" w:hAnsi="Times New Roman" w:cs="Times New Roman"/>
          <w:i/>
          <w:iCs/>
          <w:szCs w:val="24"/>
        </w:rPr>
        <w:t>Python</w:t>
      </w:r>
      <w:r>
        <w:rPr>
          <w:rFonts w:ascii="Times New Roman" w:hAnsi="Times New Roman" w:cs="Times New Roman"/>
          <w:szCs w:val="24"/>
        </w:rPr>
        <w:t xml:space="preserve"> para o desenvolvimento da análise exploratória de dados espaciais (AEDE).</w:t>
      </w:r>
    </w:p>
    <w:p w:rsidR="009F3D91" w:rsidRDefault="00A94300">
      <w:pPr>
        <w:ind w:firstLine="360"/>
      </w:pPr>
      <w:r>
        <w:rPr>
          <w:rFonts w:ascii="Times New Roman" w:hAnsi="Times New Roman" w:cs="Times New Roman"/>
          <w:szCs w:val="24"/>
        </w:rPr>
        <w:tab/>
        <w:t xml:space="preserve">Do </w:t>
      </w:r>
      <w:r>
        <w:rPr>
          <w:rFonts w:ascii="Times New Roman" w:hAnsi="Times New Roman" w:cs="Times New Roman"/>
          <w:i/>
          <w:iCs/>
          <w:szCs w:val="24"/>
        </w:rPr>
        <w:t xml:space="preserve">Atlas </w:t>
      </w:r>
      <w:proofErr w:type="gramStart"/>
      <w:r>
        <w:rPr>
          <w:rFonts w:ascii="Times New Roman" w:hAnsi="Times New Roman" w:cs="Times New Roman"/>
          <w:i/>
          <w:iCs/>
          <w:szCs w:val="24"/>
        </w:rPr>
        <w:t>Brasil</w:t>
      </w:r>
      <w:r>
        <w:rPr>
          <w:rFonts w:ascii="Times New Roman" w:hAnsi="Times New Roman" w:cs="Times New Roman"/>
          <w:szCs w:val="24"/>
        </w:rPr>
        <w:t xml:space="preserve"> foram</w:t>
      </w:r>
      <w:proofErr w:type="gramEnd"/>
      <w:r>
        <w:rPr>
          <w:rFonts w:ascii="Times New Roman" w:hAnsi="Times New Roman" w:cs="Times New Roman"/>
          <w:szCs w:val="24"/>
        </w:rPr>
        <w:t xml:space="preserve"> utilizadas as seguintes variávei</w:t>
      </w:r>
      <w:r>
        <w:rPr>
          <w:rFonts w:ascii="Times New Roman" w:hAnsi="Times New Roman" w:cs="Times New Roman"/>
          <w:szCs w:val="24"/>
        </w:rPr>
        <w:t xml:space="preserve">s: nome do município, código da mesorregião do Sul/Sudoeste de Minas Gerais, taxa de frequência dos alunos de 6 a 14 anos, população total da faixa etária de 6 a 14 anos. Da </w:t>
      </w:r>
      <w:r>
        <w:rPr>
          <w:rFonts w:ascii="Times New Roman" w:hAnsi="Times New Roman" w:cs="Times New Roman"/>
          <w:i/>
          <w:iCs/>
          <w:szCs w:val="24"/>
        </w:rPr>
        <w:t>Prova Brasil</w:t>
      </w:r>
      <w:r>
        <w:rPr>
          <w:rFonts w:ascii="Times New Roman" w:hAnsi="Times New Roman" w:cs="Times New Roman"/>
          <w:szCs w:val="24"/>
        </w:rPr>
        <w:t xml:space="preserve"> foram utilizados o</w:t>
      </w:r>
      <w:proofErr w:type="gramStart"/>
      <w:r>
        <w:rPr>
          <w:rFonts w:ascii="Times New Roman" w:hAnsi="Times New Roman" w:cs="Times New Roman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Cs w:val="24"/>
        </w:rPr>
        <w:t>nome do município e as médias das provas de língu</w:t>
      </w:r>
      <w:r>
        <w:rPr>
          <w:rFonts w:ascii="Times New Roman" w:hAnsi="Times New Roman" w:cs="Times New Roman"/>
          <w:szCs w:val="24"/>
        </w:rPr>
        <w:t xml:space="preserve">a portuguesa e de matemática, ambas do 5º ano, de cada escola municipal. Com base nessas informações, calculou-se a média por matéria das escolas municipais de cada município. </w:t>
      </w:r>
    </w:p>
    <w:p w:rsidR="009F3D91" w:rsidRDefault="00A94300">
      <w:pPr>
        <w:ind w:firstLine="360"/>
      </w:pPr>
      <w:r>
        <w:rPr>
          <w:rFonts w:ascii="Times New Roman" w:hAnsi="Times New Roman" w:cs="Times New Roman"/>
          <w:szCs w:val="24"/>
        </w:rPr>
        <w:lastRenderedPageBreak/>
        <w:t xml:space="preserve">A AEDE foi utilizada para verificar a existência de </w:t>
      </w:r>
      <w:r>
        <w:rPr>
          <w:rFonts w:ascii="Times New Roman" w:hAnsi="Times New Roman" w:cs="Times New Roman"/>
          <w:i/>
          <w:szCs w:val="24"/>
        </w:rPr>
        <w:t>clusters</w:t>
      </w:r>
      <w:r>
        <w:rPr>
          <w:rFonts w:ascii="Times New Roman" w:hAnsi="Times New Roman" w:cs="Times New Roman"/>
          <w:szCs w:val="24"/>
        </w:rPr>
        <w:t xml:space="preserve"> entre os município</w:t>
      </w:r>
      <w:r>
        <w:rPr>
          <w:rFonts w:ascii="Times New Roman" w:hAnsi="Times New Roman" w:cs="Times New Roman"/>
          <w:szCs w:val="24"/>
        </w:rPr>
        <w:t>s, o que pode indicar associação entre municípios vizinhos em relação ao rendimento dos alunos na Prova Brasil (SILVA; BORGES; PARRÉ, 2014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gramEnd"/>
    </w:p>
    <w:p w:rsidR="009F3D91" w:rsidRDefault="00A94300">
      <w:pPr>
        <w:ind w:firstLine="360"/>
      </w:pPr>
      <w:r>
        <w:rPr>
          <w:rFonts w:ascii="Times New Roman" w:hAnsi="Times New Roman" w:cs="Times New Roman"/>
          <w:szCs w:val="24"/>
        </w:rPr>
        <w:t>Para calcular o I de Moran global, a principal medida de dependência espacial, foi utilizada a seguinte fórmula:</w:t>
      </w:r>
    </w:p>
    <w:tbl>
      <w:tblPr>
        <w:tblW w:w="907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60"/>
        <w:gridCol w:w="1010"/>
      </w:tblGrid>
      <w:tr w:rsidR="009F3D91">
        <w:trPr>
          <w:tblHeader/>
        </w:trPr>
        <w:tc>
          <w:tcPr>
            <w:tcW w:w="8059" w:type="dxa"/>
            <w:shd w:val="clear" w:color="auto" w:fill="FFFFFF"/>
            <w:vAlign w:val="center"/>
          </w:tcPr>
          <w:p w:rsidR="009F3D91" w:rsidRDefault="00A94300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1010" w:type="dxa"/>
            <w:shd w:val="clear" w:color="auto" w:fill="FFFFFF"/>
            <w:vAlign w:val="center"/>
          </w:tcPr>
          <w:p w:rsidR="009F3D91" w:rsidRDefault="00A94300">
            <w:pPr>
              <w:pStyle w:val="TableContents"/>
              <w:jc w:val="right"/>
            </w:pPr>
            <w:r>
              <w:rPr>
                <w:szCs w:val="24"/>
              </w:rPr>
              <w:t>(</w:t>
            </w:r>
            <w:r>
              <w:rPr>
                <w:szCs w:val="24"/>
              </w:rPr>
              <w:fldChar w:fldCharType="begin"/>
            </w:r>
            <w:r>
              <w:instrText>SEQ Text \* ARABIC</w:instrText>
            </w:r>
            <w:r>
              <w:fldChar w:fldCharType="separate"/>
            </w:r>
            <w:r w:rsidR="000D740F">
              <w:rPr>
                <w:noProof/>
              </w:rPr>
              <w:t>1</w:t>
            </w:r>
            <w:r>
              <w:fldChar w:fldCharType="end"/>
            </w:r>
            <w:r>
              <w:rPr>
                <w:szCs w:val="24"/>
              </w:rPr>
              <w:t>)</w:t>
            </w:r>
          </w:p>
          <w:p w:rsidR="009F3D91" w:rsidRDefault="009F3D91">
            <w:pPr>
              <w:pStyle w:val="TableContents"/>
              <w:jc w:val="right"/>
              <w:rPr>
                <w:rFonts w:ascii="Times New Roman" w:hAnsi="Times New Roman"/>
                <w:szCs w:val="24"/>
              </w:rPr>
            </w:pPr>
          </w:p>
        </w:tc>
      </w:tr>
    </w:tbl>
    <w:p w:rsidR="009F3D91" w:rsidRDefault="009F3D91">
      <w:pP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 w:val="4"/>
          <w:szCs w:val="24"/>
        </w:rPr>
      </w:pPr>
    </w:p>
    <w:p w:rsidR="009F3D91" w:rsidRDefault="00A94300">
      <w:proofErr w:type="gramStart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>onde</w:t>
      </w:r>
      <w:proofErr w:type="gramEnd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 n representa o número de unidades analisadas, S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  <w:vertAlign w:val="subscript"/>
        </w:rPr>
        <w:t>0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 indica o somatório dos pesos espaciais, </w:t>
      </w:r>
      <w:proofErr w:type="spellStart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>w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  <w:vertAlign w:val="subscript"/>
        </w:rPr>
        <w:t>ij</w:t>
      </w:r>
      <w:proofErr w:type="spellEnd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  <w:vertAlign w:val="subscript"/>
        </w:rPr>
        <w:t xml:space="preserve"> 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>representa os pesos espaciais padronizados na linha,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 </w:t>
      </w:r>
      <w:proofErr w:type="spellStart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>z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  <w:vertAlign w:val="subscript"/>
        </w:rPr>
        <w:t>i</w:t>
      </w:r>
      <w:proofErr w:type="spellEnd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  <w:vertAlign w:val="subscript"/>
        </w:rPr>
        <w:t xml:space="preserve"> 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são as observações em desvios 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da média e </w:t>
      </w:r>
      <w:proofErr w:type="spellStart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>z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  <w:vertAlign w:val="subscript"/>
        </w:rPr>
        <w:t>j</w:t>
      </w:r>
      <w:proofErr w:type="spellEnd"/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 indica os vizinhos dessas observações medidos também em desvios da média. O I de Moran</w:t>
      </w:r>
      <w:r w:rsidR="000A6597"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>, na maioria das vezes,</w:t>
      </w:r>
      <w:r>
        <w:rPr>
          <w:rStyle w:val="StrongEmphasis"/>
          <w:rFonts w:ascii="Times New Roman" w:eastAsia="Calibri" w:hAnsi="Times New Roman" w:cs="Times New Roman"/>
          <w:b w:val="0"/>
          <w:bCs w:val="0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varia de -1 a +1. Um valor próximo de zero indica a ausência de </w:t>
      </w:r>
      <w:proofErr w:type="spellStart"/>
      <w:r>
        <w:rPr>
          <w:rFonts w:ascii="Times New Roman" w:hAnsi="Times New Roman" w:cs="Times New Roman"/>
          <w:szCs w:val="24"/>
        </w:rPr>
        <w:t>autocorrelação</w:t>
      </w:r>
      <w:proofErr w:type="spellEnd"/>
      <w:r>
        <w:rPr>
          <w:rFonts w:ascii="Times New Roman" w:hAnsi="Times New Roman" w:cs="Times New Roman"/>
          <w:szCs w:val="24"/>
        </w:rPr>
        <w:t xml:space="preserve"> espacial, enquanto que um valor negativo aponta para uma dissimilaridade ent</w:t>
      </w:r>
      <w:r>
        <w:rPr>
          <w:rFonts w:ascii="Times New Roman" w:hAnsi="Times New Roman" w:cs="Times New Roman"/>
          <w:szCs w:val="24"/>
        </w:rPr>
        <w:t xml:space="preserve">re as variáveis estudadas e um valor positivo revela a existência de similaridade (SILVA; BORGES; PARRÉ, 2014). O I de Moran global pode ainda ser decomposto no I de Moran </w:t>
      </w:r>
      <w:r>
        <w:rPr>
          <w:rFonts w:ascii="Times New Roman" w:hAnsi="Times New Roman" w:cs="Times New Roman"/>
          <w:i/>
          <w:iCs/>
          <w:szCs w:val="24"/>
        </w:rPr>
        <w:t>local</w:t>
      </w:r>
      <w:r>
        <w:rPr>
          <w:rFonts w:ascii="Times New Roman" w:hAnsi="Times New Roman" w:cs="Times New Roman"/>
          <w:szCs w:val="24"/>
        </w:rPr>
        <w:t xml:space="preserve">, um tipo de indicador local de </w:t>
      </w:r>
      <w:proofErr w:type="spellStart"/>
      <w:r>
        <w:rPr>
          <w:rFonts w:ascii="Times New Roman" w:hAnsi="Times New Roman" w:cs="Times New Roman"/>
          <w:szCs w:val="24"/>
        </w:rPr>
        <w:t>autocorrelação</w:t>
      </w:r>
      <w:proofErr w:type="spellEnd"/>
      <w:r>
        <w:rPr>
          <w:rFonts w:ascii="Times New Roman" w:hAnsi="Times New Roman" w:cs="Times New Roman"/>
          <w:szCs w:val="24"/>
        </w:rPr>
        <w:t xml:space="preserve"> espacial – também conhecido como</w:t>
      </w:r>
      <w:r>
        <w:rPr>
          <w:rFonts w:ascii="Times New Roman" w:hAnsi="Times New Roman" w:cs="Times New Roman"/>
          <w:szCs w:val="24"/>
        </w:rPr>
        <w:t xml:space="preserve"> LISA, </w:t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 sigla em inglês (</w:t>
      </w:r>
      <w:r>
        <w:rPr>
          <w:rFonts w:ascii="Times New Roman" w:hAnsi="Times New Roman" w:cs="Times New Roman"/>
          <w:i/>
          <w:iCs/>
          <w:szCs w:val="24"/>
        </w:rPr>
        <w:t xml:space="preserve">local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indicator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of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spatial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autocorrelation</w:t>
      </w:r>
      <w:proofErr w:type="spellEnd"/>
      <w:r>
        <w:rPr>
          <w:rFonts w:ascii="Times New Roman" w:hAnsi="Times New Roman" w:cs="Times New Roman"/>
          <w:szCs w:val="24"/>
        </w:rPr>
        <w:t>).</w:t>
      </w:r>
    </w:p>
    <w:p w:rsidR="009F3D91" w:rsidRDefault="009F3D91">
      <w:pPr>
        <w:ind w:firstLine="360"/>
        <w:rPr>
          <w:rFonts w:ascii="Times New Roman" w:hAnsi="Times New Roman" w:cs="Times New Roman"/>
          <w:szCs w:val="24"/>
        </w:rPr>
      </w:pPr>
    </w:p>
    <w:p w:rsidR="009F3D91" w:rsidRDefault="00A943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Resultados e discussões</w:t>
      </w:r>
    </w:p>
    <w:p w:rsidR="009F3D91" w:rsidRDefault="009F3D91">
      <w:pPr>
        <w:rPr>
          <w:rFonts w:ascii="Times New Roman" w:hAnsi="Times New Roman" w:cs="Times New Roman"/>
          <w:b/>
          <w:szCs w:val="24"/>
        </w:rPr>
      </w:pPr>
    </w:p>
    <w:p w:rsidR="009F3D91" w:rsidRDefault="00A94300">
      <w:pPr>
        <w:ind w:firstLine="360"/>
      </w:pPr>
      <w:r>
        <w:rPr>
          <w:rFonts w:ascii="Times New Roman" w:hAnsi="Times New Roman" w:cs="Times New Roman"/>
          <w:szCs w:val="24"/>
        </w:rPr>
        <w:t>A Figura 1 mostra a distribuição das notas em língua portuguesa e matemática nos municípios do SSM. Como se pode notar, a maioria dos municípios pontuação entre 220,67 a 235,30 em língua portuguesa. De acordo com o Instituto Nacional de Estudos e Pesquisas</w:t>
      </w:r>
      <w:r>
        <w:rPr>
          <w:rFonts w:ascii="Times New Roman" w:hAnsi="Times New Roman" w:cs="Times New Roman"/>
          <w:szCs w:val="24"/>
        </w:rPr>
        <w:t xml:space="preserve"> Educacionais Anísio Teixeira (INEP), isso coloca a região entre os níveis </w:t>
      </w:r>
      <w:proofErr w:type="gramStart"/>
      <w:r>
        <w:rPr>
          <w:rFonts w:ascii="Times New Roman" w:hAnsi="Times New Roman" w:cs="Times New Roman"/>
          <w:szCs w:val="24"/>
        </w:rPr>
        <w:t>4</w:t>
      </w:r>
      <w:proofErr w:type="gramEnd"/>
      <w:r>
        <w:rPr>
          <w:rFonts w:ascii="Times New Roman" w:hAnsi="Times New Roman" w:cs="Times New Roman"/>
          <w:szCs w:val="24"/>
        </w:rPr>
        <w:t xml:space="preserve"> e 5 de proficiência, de uma escala que vai de 0 a 9 (0 a 500 pontos) (BRASIL, 2011). Em matemática, predominam os municípios com média entre 235,48 a 250,82, o que faz com que a r</w:t>
      </w:r>
      <w:r>
        <w:rPr>
          <w:rFonts w:ascii="Times New Roman" w:hAnsi="Times New Roman" w:cs="Times New Roman"/>
          <w:szCs w:val="24"/>
        </w:rPr>
        <w:t xml:space="preserve">egião está no nível </w:t>
      </w:r>
      <w:proofErr w:type="gramStart"/>
      <w:r>
        <w:rPr>
          <w:rFonts w:ascii="Times New Roman" w:hAnsi="Times New Roman" w:cs="Times New Roman"/>
          <w:szCs w:val="24"/>
        </w:rPr>
        <w:t>5</w:t>
      </w:r>
      <w:proofErr w:type="gramEnd"/>
      <w:r>
        <w:rPr>
          <w:rFonts w:ascii="Times New Roman" w:hAnsi="Times New Roman" w:cs="Times New Roman"/>
          <w:szCs w:val="24"/>
        </w:rPr>
        <w:t xml:space="preserve"> da escala de proficiência do INEP. </w:t>
      </w: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9F3D91">
      <w:pPr>
        <w:jc w:val="center"/>
        <w:rPr>
          <w:rFonts w:ascii="Times New Roman" w:hAnsi="Times New Roman" w:cs="Times New Roman"/>
          <w:szCs w:val="24"/>
        </w:rPr>
      </w:pPr>
    </w:p>
    <w:p w:rsidR="009F3D91" w:rsidRDefault="00A94300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pt-BR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87625"/>
            <wp:effectExtent l="0" t="0" r="0" b="0"/>
            <wp:wrapTopAndBottom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D91" w:rsidRDefault="00A94300">
      <w:pPr>
        <w:spacing w:line="240" w:lineRule="auto"/>
      </w:pPr>
      <w:r>
        <w:rPr>
          <w:rFonts w:ascii="Times New Roman" w:hAnsi="Times New Roman" w:cs="Times New Roman"/>
          <w:szCs w:val="24"/>
        </w:rPr>
        <w:t>Figura 1:</w:t>
      </w:r>
      <w:proofErr w:type="gramStart"/>
      <w:r>
        <w:rPr>
          <w:rFonts w:ascii="Times New Roman" w:hAnsi="Times New Roman" w:cs="Times New Roman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Cs w:val="24"/>
        </w:rPr>
        <w:t>Média das notas da Prova Brasil, 5º ano, nos municípios do SSM em 2015, por disciplina.</w:t>
      </w:r>
      <w:r>
        <w:rPr>
          <w:rFonts w:ascii="Times New Roman" w:hAnsi="Times New Roman" w:cs="Times New Roman"/>
          <w:szCs w:val="24"/>
        </w:rPr>
        <w:tab/>
        <w:t xml:space="preserve">        </w:t>
      </w:r>
    </w:p>
    <w:p w:rsidR="009F3D91" w:rsidRDefault="00A94300">
      <w:pPr>
        <w:spacing w:line="240" w:lineRule="auto"/>
      </w:pPr>
      <w:r>
        <w:rPr>
          <w:rFonts w:ascii="Times New Roman" w:hAnsi="Times New Roman" w:cs="Times New Roman"/>
          <w:sz w:val="20"/>
          <w:szCs w:val="24"/>
        </w:rPr>
        <w:t>Fonte: elaboração própria a partir dos dados da Prova Brasil.</w:t>
      </w:r>
    </w:p>
    <w:p w:rsidR="009F3D91" w:rsidRDefault="009F3D91">
      <w:pPr>
        <w:spacing w:line="240" w:lineRule="auto"/>
        <w:rPr>
          <w:rFonts w:ascii="Times New Roman" w:hAnsi="Times New Roman" w:cs="Times New Roman"/>
          <w:szCs w:val="24"/>
        </w:rPr>
      </w:pPr>
    </w:p>
    <w:p w:rsidR="009F3D91" w:rsidRDefault="00A94300">
      <w:pPr>
        <w:ind w:firstLine="708"/>
      </w:pPr>
      <w:r>
        <w:rPr>
          <w:rFonts w:ascii="Times New Roman" w:hAnsi="Times New Roman" w:cs="Times New Roman"/>
          <w:szCs w:val="24"/>
        </w:rPr>
        <w:t>Na prova Brasil 20</w:t>
      </w:r>
      <w:r>
        <w:rPr>
          <w:rFonts w:ascii="Times New Roman" w:hAnsi="Times New Roman" w:cs="Times New Roman"/>
          <w:szCs w:val="24"/>
        </w:rPr>
        <w:t>15 de língua portuguesa, 5º ano, o índice médio nacional foi de 207,6, o de Minas Gerais foi 220,7</w:t>
      </w:r>
      <w:proofErr w:type="gramStart"/>
      <w:r>
        <w:rPr>
          <w:rFonts w:ascii="Times New Roman" w:hAnsi="Times New Roman" w:cs="Times New Roman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Cs w:val="24"/>
        </w:rPr>
        <w:t>e o indicador da maioria dos municípios do SSM ficou entre 220,6 a 235,3 (INEP, 2016). Já em matemática, a média nacional foi 219,3, a média mineira foi 232</w:t>
      </w:r>
      <w:r>
        <w:rPr>
          <w:rFonts w:ascii="Times New Roman" w:hAnsi="Times New Roman" w:cs="Times New Roman"/>
          <w:szCs w:val="24"/>
        </w:rPr>
        <w:t xml:space="preserve">,4, enquanto que a maior parte dos municípios da SSM ficou entre 235,48 a </w:t>
      </w:r>
      <w:proofErr w:type="gramStart"/>
      <w:r>
        <w:rPr>
          <w:rFonts w:ascii="Times New Roman" w:hAnsi="Times New Roman" w:cs="Times New Roman"/>
          <w:szCs w:val="24"/>
        </w:rPr>
        <w:t>250,82.</w:t>
      </w:r>
      <w:proofErr w:type="gramEnd"/>
      <w:r>
        <w:rPr>
          <w:rFonts w:ascii="Times New Roman" w:hAnsi="Times New Roman" w:cs="Times New Roman"/>
          <w:szCs w:val="24"/>
        </w:rPr>
        <w:t>​​​​​​​​​​​​​</w:t>
      </w:r>
    </w:p>
    <w:p w:rsidR="009F3D91" w:rsidRDefault="00A94300">
      <w:pPr>
        <w:ind w:firstLine="360"/>
      </w:pPr>
      <w:r>
        <w:rPr>
          <w:rFonts w:ascii="Times New Roman" w:hAnsi="Times New Roman" w:cs="Times New Roman"/>
          <w:szCs w:val="24"/>
        </w:rPr>
        <w:t xml:space="preserve">O I de Moran global não foi significativo </w:t>
      </w:r>
      <w:proofErr w:type="gramStart"/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Standard Symbols L" w:hAnsi="Standard Symbols L" w:cs="Times New Roman"/>
          <w:szCs w:val="24"/>
        </w:rPr>
        <w:t>a</w:t>
      </w:r>
      <w:proofErr w:type="spellEnd"/>
      <w:proofErr w:type="gramEnd"/>
      <w:r>
        <w:rPr>
          <w:rFonts w:ascii="Standard Symbols L" w:hAnsi="Standard Symbols L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0,05</w:t>
      </w:r>
      <w:r>
        <w:rPr>
          <w:rFonts w:ascii="Symbola" w:hAnsi="Symbola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para nenhuma das duas variáveis (valor-p de 0,42 em língua portuguesa e 0,47 em matemática). Isso pode ser </w:t>
      </w:r>
      <w:r>
        <w:rPr>
          <w:rFonts w:ascii="Times New Roman" w:hAnsi="Times New Roman" w:cs="Times New Roman"/>
          <w:szCs w:val="24"/>
        </w:rPr>
        <w:t>confirmado nos diagramas de dispersão da Figura 2, em que a inclinação da reta é próxima de zero e onde as observações estão dispersas por todos os quadrantes, indicando que não há evidências suficientes para rejeitar a hipótese de distribuição espacial al</w:t>
      </w:r>
      <w:r>
        <w:rPr>
          <w:rFonts w:ascii="Times New Roman" w:hAnsi="Times New Roman" w:cs="Times New Roman"/>
          <w:szCs w:val="24"/>
        </w:rPr>
        <w:t>eatória das observações.</w:t>
      </w:r>
    </w:p>
    <w:p w:rsidR="009F3D91" w:rsidRDefault="009F3D91">
      <w:pPr>
        <w:spacing w:line="240" w:lineRule="auto"/>
        <w:rPr>
          <w:rFonts w:ascii="Times New Roman" w:hAnsi="Times New Roman" w:cs="Times New Roman"/>
          <w:szCs w:val="24"/>
        </w:rPr>
      </w:pPr>
    </w:p>
    <w:p w:rsidR="009F3D91" w:rsidRDefault="009F3D91">
      <w:pPr>
        <w:spacing w:line="240" w:lineRule="auto"/>
        <w:rPr>
          <w:rFonts w:ascii="Times New Roman" w:hAnsi="Times New Roman" w:cs="Times New Roman"/>
          <w:szCs w:val="24"/>
        </w:rPr>
      </w:pPr>
    </w:p>
    <w:p w:rsidR="009F3D91" w:rsidRDefault="00A94300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491105" cy="180721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Cs w:val="24"/>
          <w:lang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571750" cy="186563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D91" w:rsidRDefault="00A94300">
      <w:pPr>
        <w:spacing w:line="240" w:lineRule="auto"/>
      </w:pPr>
      <w:r>
        <w:rPr>
          <w:rFonts w:ascii="Times New Roman" w:hAnsi="Times New Roman" w:cs="Times New Roman"/>
          <w:szCs w:val="24"/>
        </w:rPr>
        <w:t>Figura 2: Diagrama de dispersão de Moran da Prova Brasil, 5</w:t>
      </w:r>
      <w:r>
        <w:rPr>
          <w:rFonts w:ascii="Times New Roman" w:hAnsi="Times New Roman" w:cs="Times New Roman"/>
          <w:szCs w:val="24"/>
          <w:vertAlign w:val="superscript"/>
        </w:rPr>
        <w:t xml:space="preserve">o </w:t>
      </w:r>
      <w:r>
        <w:rPr>
          <w:rFonts w:ascii="Times New Roman" w:hAnsi="Times New Roman" w:cs="Times New Roman"/>
          <w:szCs w:val="24"/>
        </w:rPr>
        <w:t>ano, em 2015, nos municípios do SSM, por disciplina (em desvios padrão).</w:t>
      </w:r>
    </w:p>
    <w:p w:rsidR="009F3D91" w:rsidRDefault="00A94300">
      <w:pPr>
        <w:spacing w:line="240" w:lineRule="auto"/>
        <w:rPr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>Fonte: elaboração própria a partir dos dados da Prova Brasil.</w:t>
      </w:r>
    </w:p>
    <w:p w:rsidR="009F3D91" w:rsidRDefault="009F3D91">
      <w:pPr>
        <w:jc w:val="center"/>
        <w:rPr>
          <w:rFonts w:ascii="Times New Roman" w:hAnsi="Times New Roman" w:cs="Times New Roman"/>
          <w:b/>
          <w:szCs w:val="24"/>
        </w:rPr>
      </w:pPr>
    </w:p>
    <w:p w:rsidR="009F3D91" w:rsidRDefault="00A94300">
      <w:r>
        <w:rPr>
          <w:rFonts w:ascii="Times New Roman" w:hAnsi="Times New Roman" w:cs="Times New Roman"/>
          <w:szCs w:val="24"/>
        </w:rPr>
        <w:tab/>
        <w:t xml:space="preserve">Na figura 3 estão indicados </w:t>
      </w:r>
      <w:r>
        <w:rPr>
          <w:rFonts w:ascii="Times New Roman" w:hAnsi="Times New Roman" w:cs="Times New Roman"/>
          <w:szCs w:val="24"/>
        </w:rPr>
        <w:t xml:space="preserve">os agrupamentos de municípios em que </w:t>
      </w:r>
      <w:proofErr w:type="gramStart"/>
      <w:r>
        <w:rPr>
          <w:rFonts w:ascii="Times New Roman" w:hAnsi="Times New Roman" w:cs="Times New Roman"/>
          <w:szCs w:val="24"/>
        </w:rPr>
        <w:t>observa-se</w:t>
      </w:r>
      <w:proofErr w:type="gramEnd"/>
      <w:r>
        <w:rPr>
          <w:rFonts w:ascii="Times New Roman" w:hAnsi="Times New Roman" w:cs="Times New Roman"/>
          <w:szCs w:val="24"/>
        </w:rPr>
        <w:t xml:space="preserve"> a distribuição dos municípios em agrupamentos na medida em que o I de Moran local tenha sido estatisticamente diferente da média de todos os valores da distribuição. Neste tipo de mapa as regiões em vermelho </w:t>
      </w:r>
      <w:r>
        <w:rPr>
          <w:rFonts w:ascii="Times New Roman" w:hAnsi="Times New Roman" w:cs="Times New Roman"/>
          <w:szCs w:val="24"/>
        </w:rPr>
        <w:t xml:space="preserve">correspondem às áreas com valores </w:t>
      </w:r>
      <w:proofErr w:type="gramStart"/>
      <w:r>
        <w:rPr>
          <w:rFonts w:ascii="Times New Roman" w:hAnsi="Times New Roman" w:cs="Times New Roman"/>
          <w:szCs w:val="24"/>
        </w:rPr>
        <w:t>altos cercadas por valores também altos</w:t>
      </w:r>
      <w:proofErr w:type="gramEnd"/>
      <w:r>
        <w:rPr>
          <w:rFonts w:ascii="Times New Roman" w:hAnsi="Times New Roman" w:cs="Times New Roman"/>
          <w:szCs w:val="24"/>
        </w:rPr>
        <w:t xml:space="preserve"> (agrupamento  alto-alto). As áreas em azul-escuro indicam o regiões municípios com valores baixos estão próximos a outros municípios com </w:t>
      </w:r>
      <w:proofErr w:type="gramStart"/>
      <w:r>
        <w:rPr>
          <w:rFonts w:ascii="Times New Roman" w:hAnsi="Times New Roman" w:cs="Times New Roman"/>
          <w:szCs w:val="24"/>
        </w:rPr>
        <w:t xml:space="preserve">valores </w:t>
      </w:r>
      <w:proofErr w:type="spellStart"/>
      <w:r>
        <w:rPr>
          <w:rFonts w:ascii="Times New Roman" w:hAnsi="Times New Roman" w:cs="Times New Roman"/>
          <w:szCs w:val="24"/>
        </w:rPr>
        <w:t>valores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baixos (agrupamento baixo-bai</w:t>
      </w:r>
      <w:r>
        <w:rPr>
          <w:rFonts w:ascii="Times New Roman" w:hAnsi="Times New Roman" w:cs="Times New Roman"/>
          <w:szCs w:val="24"/>
        </w:rPr>
        <w:t>xo). Os locais em azul-claro (baixo-alto) e as áreas em vinho (alto-baixo) são pontos em que os municípios são vizinhos de municípios com valores diferentes dos seus.</w:t>
      </w:r>
    </w:p>
    <w:p w:rsidR="009F3D91" w:rsidRDefault="00A94300">
      <w:r>
        <w:rPr>
          <w:rFonts w:ascii="Times New Roman" w:hAnsi="Times New Roman" w:cs="Times New Roman"/>
          <w:szCs w:val="24"/>
        </w:rPr>
        <w:tab/>
        <w:t>O fato mais relevante nos mapas da figura 3 é que não há grandes agrupamentos, confirman</w:t>
      </w:r>
      <w:r>
        <w:rPr>
          <w:rFonts w:ascii="Times New Roman" w:hAnsi="Times New Roman" w:cs="Times New Roman"/>
          <w:szCs w:val="24"/>
        </w:rPr>
        <w:t>do o que havia sido indicado pelo I de Moran global. Os destaques são apenas um pequeno agrupamento baixo-baixo em língua portuguesa e um também pequeno agrupamento, porém alto-alto, em matemática.</w:t>
      </w:r>
    </w:p>
    <w:p w:rsidR="009F3D91" w:rsidRDefault="009F3D91">
      <w:pPr>
        <w:pStyle w:val="PargrafodaLista"/>
        <w:ind w:left="360"/>
        <w:rPr>
          <w:rFonts w:ascii="Times New Roman" w:hAnsi="Times New Roman" w:cs="Times New Roman"/>
          <w:szCs w:val="24"/>
        </w:rPr>
      </w:pPr>
    </w:p>
    <w:p w:rsidR="009F3D91" w:rsidRDefault="00A94300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-200025</wp:posOffset>
            </wp:positionV>
            <wp:extent cx="5531485" cy="246951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D91" w:rsidRDefault="00A94300">
      <w:pPr>
        <w:spacing w:line="240" w:lineRule="auto"/>
      </w:pPr>
      <w:r>
        <w:rPr>
          <w:rFonts w:ascii="Times New Roman" w:hAnsi="Times New Roman" w:cs="Times New Roman"/>
          <w:szCs w:val="24"/>
        </w:rPr>
        <w:t>Figura 3: Agrupamentos do I de Moran local da Prova Bra</w:t>
      </w:r>
      <w:r>
        <w:rPr>
          <w:rFonts w:ascii="Times New Roman" w:hAnsi="Times New Roman" w:cs="Times New Roman"/>
          <w:szCs w:val="24"/>
        </w:rPr>
        <w:t>sil, 5</w:t>
      </w:r>
      <w:r>
        <w:rPr>
          <w:rFonts w:ascii="Times New Roman" w:hAnsi="Times New Roman" w:cs="Times New Roman"/>
          <w:szCs w:val="24"/>
          <w:vertAlign w:val="superscript"/>
        </w:rPr>
        <w:t>o</w:t>
      </w:r>
      <w:r>
        <w:rPr>
          <w:rFonts w:ascii="Times New Roman" w:hAnsi="Times New Roman" w:cs="Times New Roman"/>
          <w:szCs w:val="24"/>
        </w:rPr>
        <w:t xml:space="preserve"> ano, 2015, nos municípios do SSM, por disciplina. </w:t>
      </w:r>
      <w:r>
        <w:rPr>
          <w:rFonts w:ascii="Times New Roman" w:hAnsi="Times New Roman" w:cs="Times New Roman"/>
          <w:szCs w:val="24"/>
        </w:rPr>
        <w:tab/>
        <w:t xml:space="preserve">                                        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9F3D91" w:rsidRDefault="00A94300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Fonte: elaboração própria a partir dos dados da Prova Brasil.</w:t>
      </w:r>
    </w:p>
    <w:p w:rsidR="009F3D91" w:rsidRDefault="009F3D91">
      <w:pPr>
        <w:spacing w:line="240" w:lineRule="auto"/>
        <w:rPr>
          <w:rFonts w:ascii="Times New Roman" w:hAnsi="Times New Roman" w:cs="Times New Roman"/>
          <w:szCs w:val="24"/>
        </w:rPr>
      </w:pPr>
    </w:p>
    <w:p w:rsidR="009F3D91" w:rsidRDefault="009F3D91">
      <w:pPr>
        <w:ind w:firstLine="708"/>
        <w:rPr>
          <w:rFonts w:ascii="Times New Roman" w:hAnsi="Times New Roman" w:cs="Times New Roman"/>
          <w:szCs w:val="24"/>
        </w:rPr>
      </w:pPr>
    </w:p>
    <w:p w:rsidR="009F3D91" w:rsidRDefault="00A943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Conclusão</w:t>
      </w:r>
    </w:p>
    <w:p w:rsidR="009F3D91" w:rsidRDefault="00A94300">
      <w:pPr>
        <w:ind w:firstLine="708"/>
      </w:pPr>
      <w:r>
        <w:rPr>
          <w:rFonts w:ascii="Times New Roman" w:hAnsi="Times New Roman" w:cs="Times New Roman"/>
          <w:szCs w:val="24"/>
        </w:rPr>
        <w:t xml:space="preserve">Neste estudo, através da AEDE, observou-se que não houve correlação espacial entre os municípios da SSM em relação às notas da Prova Brasil de língua portuguesa e de </w:t>
      </w:r>
      <w:r>
        <w:rPr>
          <w:rFonts w:ascii="Times New Roman" w:hAnsi="Times New Roman" w:cs="Times New Roman"/>
          <w:szCs w:val="24"/>
        </w:rPr>
        <w:lastRenderedPageBreak/>
        <w:t xml:space="preserve">matemática do 5º ano do ensino fundamental I das escolas municipais, o que foi confirmado </w:t>
      </w:r>
      <w:r>
        <w:rPr>
          <w:rFonts w:ascii="Times New Roman" w:hAnsi="Times New Roman" w:cs="Times New Roman"/>
          <w:szCs w:val="24"/>
        </w:rPr>
        <w:t xml:space="preserve">pela ausência de grandes agrupamentos espaciais de acordo com o I de Moran local. </w:t>
      </w:r>
    </w:p>
    <w:p w:rsidR="009F3D91" w:rsidRDefault="009F3D91">
      <w:pPr>
        <w:ind w:firstLine="708"/>
        <w:rPr>
          <w:rFonts w:ascii="Times New Roman" w:hAnsi="Times New Roman" w:cs="Times New Roman"/>
          <w:szCs w:val="24"/>
        </w:rPr>
      </w:pPr>
    </w:p>
    <w:p w:rsidR="009F3D91" w:rsidRDefault="00A943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Referências</w:t>
      </w:r>
    </w:p>
    <w:p w:rsidR="009F3D91" w:rsidRDefault="00A94300">
      <w:pPr>
        <w:pStyle w:val="NormalWeb"/>
        <w:spacing w:after="170" w:line="240" w:lineRule="auto"/>
      </w:pPr>
      <w:r>
        <w:rPr>
          <w:color w:val="000000"/>
        </w:rPr>
        <w:t xml:space="preserve">[1] BRASIL. Câmara dos Deputados. </w:t>
      </w:r>
      <w:r>
        <w:rPr>
          <w:b/>
          <w:bCs/>
          <w:color w:val="000000"/>
        </w:rPr>
        <w:t xml:space="preserve">Constituição da República Federativa do Brasil, 1988. </w:t>
      </w:r>
    </w:p>
    <w:p w:rsidR="009F3D91" w:rsidRDefault="00A94300">
      <w:pPr>
        <w:pStyle w:val="NormalWeb"/>
        <w:spacing w:after="170" w:line="240" w:lineRule="auto"/>
      </w:pPr>
      <w:r>
        <w:t>[2] ______.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Lei de diretrizes e bases da educação nacional: </w:t>
      </w:r>
      <w:r>
        <w:rPr>
          <w:color w:val="000000"/>
        </w:rPr>
        <w:t>Lei nº 9.39</w:t>
      </w:r>
      <w:r>
        <w:rPr>
          <w:color w:val="000000"/>
        </w:rPr>
        <w:t xml:space="preserve">4, de 20 de dezembro de 1996, que estabelece as diretrizes e bases da educação nacional. – 12. </w:t>
      </w:r>
      <w:proofErr w:type="gramStart"/>
      <w:r>
        <w:rPr>
          <w:color w:val="000000"/>
        </w:rPr>
        <w:t>ed.</w:t>
      </w:r>
      <w:proofErr w:type="gramEnd"/>
      <w:r>
        <w:rPr>
          <w:color w:val="000000"/>
        </w:rPr>
        <w:t xml:space="preserve"> Brasília: Câmara dos Deputados, Edições Câmara, 2016a.</w:t>
      </w:r>
    </w:p>
    <w:p w:rsidR="009F3D91" w:rsidRDefault="00A94300">
      <w:pPr>
        <w:pStyle w:val="NormalWeb"/>
        <w:spacing w:after="170" w:line="240" w:lineRule="auto"/>
      </w:pPr>
      <w:r>
        <w:t>[3] INEP (</w:t>
      </w:r>
      <w:r>
        <w:rPr>
          <w:color w:val="000000"/>
        </w:rPr>
        <w:t>INSTITUTO NACIONAL DE ESTUDOS E PESQUISAS EDUCACIONAIS ANÍSIO TEIXEIRA)</w:t>
      </w:r>
      <w:r>
        <w:t xml:space="preserve">.  </w:t>
      </w:r>
      <w:r>
        <w:rPr>
          <w:b/>
        </w:rPr>
        <w:t>Inep apresenta res</w:t>
      </w:r>
      <w:r>
        <w:rPr>
          <w:b/>
        </w:rPr>
        <w:t>ultado da Prova Brasil 2015</w:t>
      </w:r>
      <w:r>
        <w:t>, publicado em 08 de set. 2016</w:t>
      </w:r>
      <w:r>
        <w:rPr>
          <w:b/>
        </w:rPr>
        <w:t>.</w:t>
      </w:r>
      <w:r>
        <w:t xml:space="preserve"> Disponível em: &lt;http://www.brasil.gov.br/educacao/2016/09/inep-apresenta-resultados-da-prova-brasil-2015&gt;. Acesso em 15 mar. 2017.</w:t>
      </w:r>
    </w:p>
    <w:p w:rsidR="009F3D91" w:rsidRDefault="00A94300">
      <w:pPr>
        <w:pStyle w:val="NormalWeb"/>
        <w:spacing w:after="170" w:line="240" w:lineRule="auto"/>
      </w:pPr>
      <w:r>
        <w:t>[4] SILVA, L. N. S.; BORGES, M. J</w:t>
      </w:r>
      <w:proofErr w:type="gramStart"/>
      <w:r>
        <w:t>.;</w:t>
      </w:r>
      <w:proofErr w:type="gramEnd"/>
      <w:r>
        <w:t xml:space="preserve"> PARRÉ, J. L. Distribuição Espa</w:t>
      </w:r>
      <w:r>
        <w:t xml:space="preserve">cial da Pobreza no Paraná. </w:t>
      </w:r>
      <w:r>
        <w:rPr>
          <w:b/>
        </w:rPr>
        <w:t>Revista de Economia</w:t>
      </w:r>
      <w:r>
        <w:t xml:space="preserve">, v. 39, n. 3, p. 35-58, 2014. </w:t>
      </w:r>
    </w:p>
    <w:sectPr w:rsidR="009F3D91">
      <w:headerReference w:type="default" r:id="rId13"/>
      <w:pgSz w:w="11906" w:h="16838"/>
      <w:pgMar w:top="1701" w:right="1134" w:bottom="1134" w:left="1701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300" w:rsidRDefault="00A94300">
      <w:pPr>
        <w:spacing w:line="240" w:lineRule="auto"/>
      </w:pPr>
      <w:r>
        <w:separator/>
      </w:r>
    </w:p>
  </w:endnote>
  <w:endnote w:type="continuationSeparator" w:id="0">
    <w:p w:rsidR="00A94300" w:rsidRDefault="00A94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andard Symbols L">
    <w:altName w:val="Times New Roman"/>
    <w:charset w:val="01"/>
    <w:family w:val="roman"/>
    <w:pitch w:val="variable"/>
  </w:font>
  <w:font w:name="Symbola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300" w:rsidRDefault="00A94300">
      <w:r>
        <w:separator/>
      </w:r>
    </w:p>
  </w:footnote>
  <w:footnote w:type="continuationSeparator" w:id="0">
    <w:p w:rsidR="00A94300" w:rsidRDefault="00A94300">
      <w:r>
        <w:continuationSeparator/>
      </w:r>
    </w:p>
  </w:footnote>
  <w:footnote w:id="1">
    <w:p w:rsidR="009F3D91" w:rsidRDefault="00A94300">
      <w:pPr>
        <w:pStyle w:val="Textodenotaderodap"/>
      </w:pPr>
      <w:r>
        <w:rPr>
          <w:rStyle w:val="Refdenotaderodap"/>
        </w:rPr>
        <w:footnoteRef/>
      </w:r>
      <w:r>
        <w:rPr>
          <w:rStyle w:val="Refdenotaderodap"/>
        </w:rPr>
        <w:tab/>
      </w:r>
      <w:r>
        <w:t xml:space="preserve"> </w:t>
      </w:r>
      <w:r>
        <w:t>Discente do Programa de Pós-Graduação em Gestão Pública e Sociedade da Universidade Federal de Alfenas (UNIFAL). E-mail: alex@bomdia.com.br</w:t>
      </w:r>
    </w:p>
  </w:footnote>
  <w:footnote w:id="2">
    <w:p w:rsidR="009F3D91" w:rsidRDefault="00A94300">
      <w:pPr>
        <w:pStyle w:val="Textodenotaderodap"/>
      </w:pPr>
      <w:r>
        <w:footnoteRef/>
      </w:r>
      <w:r>
        <w:tab/>
        <w:t xml:space="preserve"> Professor, </w:t>
      </w:r>
      <w:proofErr w:type="spellStart"/>
      <w:proofErr w:type="gramStart"/>
      <w:r>
        <w:t>Unifal</w:t>
      </w:r>
      <w:proofErr w:type="spellEnd"/>
      <w:r>
        <w:t>-MG</w:t>
      </w:r>
      <w:proofErr w:type="gramEnd"/>
      <w:r>
        <w:t>, campus Varginha.</w:t>
      </w:r>
    </w:p>
  </w:footnote>
  <w:footnote w:id="3">
    <w:p w:rsidR="009F3D91" w:rsidRDefault="00A94300">
      <w:pPr>
        <w:pStyle w:val="Textodenotaderodap"/>
      </w:pPr>
      <w:r>
        <w:footnoteRef/>
      </w:r>
      <w:r>
        <w:tab/>
        <w:t xml:space="preserve"> Professora, </w:t>
      </w:r>
      <w:proofErr w:type="spellStart"/>
      <w:proofErr w:type="gramStart"/>
      <w:r>
        <w:t>Unifal</w:t>
      </w:r>
      <w:proofErr w:type="spellEnd"/>
      <w:r>
        <w:t>-MG</w:t>
      </w:r>
      <w:proofErr w:type="gramEnd"/>
      <w:r>
        <w:t>, campus Varginha.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D91" w:rsidRDefault="00A94300">
    <w:pPr>
      <w:pStyle w:val="Cabealho"/>
      <w:rPr>
        <w:rFonts w:ascii="Times New Roman" w:hAnsi="Times New Roman" w:cs="Times New Roman"/>
        <w:b/>
        <w:i/>
        <w:szCs w:val="24"/>
      </w:rPr>
    </w:pPr>
    <w:r>
      <w:rPr>
        <w:rFonts w:ascii="Times New Roman" w:hAnsi="Times New Roman" w:cs="Times New Roman"/>
        <w:b/>
        <w:szCs w:val="24"/>
      </w:rPr>
      <w:t xml:space="preserve">62ª </w:t>
    </w:r>
    <w:proofErr w:type="spellStart"/>
    <w:proofErr w:type="gramStart"/>
    <w:r>
      <w:rPr>
        <w:rFonts w:ascii="Times New Roman" w:hAnsi="Times New Roman" w:cs="Times New Roman"/>
        <w:b/>
        <w:szCs w:val="24"/>
      </w:rPr>
      <w:t>RBras</w:t>
    </w:r>
    <w:proofErr w:type="spellEnd"/>
    <w:proofErr w:type="gramEnd"/>
    <w:r>
      <w:rPr>
        <w:rFonts w:ascii="Times New Roman" w:hAnsi="Times New Roman" w:cs="Times New Roman"/>
        <w:b/>
        <w:szCs w:val="24"/>
      </w:rPr>
      <w:t xml:space="preserve"> e 17º SEAGRO                                24 a 28 de julho de 2017, Lavras - MG</w:t>
    </w:r>
  </w:p>
  <w:p w:rsidR="009F3D91" w:rsidRDefault="009F3D91">
    <w:pPr>
      <w:pStyle w:val="Cabealho"/>
      <w:pBdr>
        <w:bottom w:val="single" w:sz="12" w:space="1" w:color="00000A"/>
      </w:pBdr>
      <w:jc w:val="center"/>
      <w:rPr>
        <w:b/>
        <w:i/>
        <w:sz w:val="16"/>
        <w:szCs w:val="20"/>
      </w:rPr>
    </w:pPr>
  </w:p>
  <w:p w:rsidR="009F3D91" w:rsidRDefault="009F3D91">
    <w:pPr>
      <w:pStyle w:val="Cabealho"/>
      <w:jc w:val="center"/>
      <w:rPr>
        <w:b/>
      </w:rPr>
    </w:pPr>
  </w:p>
  <w:p w:rsidR="009F3D91" w:rsidRDefault="009F3D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782"/>
    <w:multiLevelType w:val="multilevel"/>
    <w:tmpl w:val="9C20F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9654E3"/>
    <w:multiLevelType w:val="multilevel"/>
    <w:tmpl w:val="C46AC39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91"/>
    <w:rsid w:val="000A6597"/>
    <w:rsid w:val="000D740F"/>
    <w:rsid w:val="008B2D9A"/>
    <w:rsid w:val="009F3D91"/>
    <w:rsid w:val="00A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Liberation Serif" w:hAnsi="Liberation Serif"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885062"/>
  </w:style>
  <w:style w:type="character" w:customStyle="1" w:styleId="RodapChar">
    <w:name w:val="Rodapé Char"/>
    <w:basedOn w:val="Fontepargpadro"/>
    <w:link w:val="Rodap"/>
    <w:uiPriority w:val="99"/>
    <w:qFormat/>
    <w:rsid w:val="00885062"/>
  </w:style>
  <w:style w:type="character" w:customStyle="1" w:styleId="InternetLink">
    <w:name w:val="Internet Link"/>
    <w:basedOn w:val="Fontepargpadro"/>
    <w:uiPriority w:val="99"/>
    <w:unhideWhenUsed/>
    <w:rsid w:val="00451523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01ECC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B77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6B7718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B7718"/>
    <w:rPr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/>
      <w:b/>
      <w:i w:val="0"/>
      <w:sz w:val="24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2">
    <w:name w:val="ListLabel 2"/>
    <w:qFormat/>
    <w:rPr>
      <w:rFonts w:ascii="Times New Roman" w:hAnsi="Times New Roman"/>
      <w:b/>
      <w:i w:val="0"/>
      <w:sz w:val="24"/>
    </w:rPr>
  </w:style>
  <w:style w:type="character" w:customStyle="1" w:styleId="ListLabel3">
    <w:name w:val="ListLabel 3"/>
    <w:qFormat/>
    <w:rPr>
      <w:rFonts w:ascii="Times New Roman" w:hAnsi="Times New Roman"/>
      <w:b/>
      <w:i w:val="0"/>
      <w:sz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2E65ED"/>
    <w:pPr>
      <w:spacing w:after="200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4205F"/>
    <w:pPr>
      <w:spacing w:beforeAutospacing="1" w:after="142" w:line="288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885062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85062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01ECC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pPr>
      <w:spacing w:line="240" w:lineRule="auto"/>
    </w:pPr>
    <w:rPr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6B7718"/>
    <w:pPr>
      <w:spacing w:line="240" w:lineRule="auto"/>
    </w:pPr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Liberation Serif" w:hAnsi="Liberation Serif"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885062"/>
  </w:style>
  <w:style w:type="character" w:customStyle="1" w:styleId="RodapChar">
    <w:name w:val="Rodapé Char"/>
    <w:basedOn w:val="Fontepargpadro"/>
    <w:link w:val="Rodap"/>
    <w:uiPriority w:val="99"/>
    <w:qFormat/>
    <w:rsid w:val="00885062"/>
  </w:style>
  <w:style w:type="character" w:customStyle="1" w:styleId="InternetLink">
    <w:name w:val="Internet Link"/>
    <w:basedOn w:val="Fontepargpadro"/>
    <w:uiPriority w:val="99"/>
    <w:unhideWhenUsed/>
    <w:rsid w:val="00451523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01ECC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B77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6B7718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B7718"/>
    <w:rPr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/>
      <w:b/>
      <w:i w:val="0"/>
      <w:sz w:val="24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2">
    <w:name w:val="ListLabel 2"/>
    <w:qFormat/>
    <w:rPr>
      <w:rFonts w:ascii="Times New Roman" w:hAnsi="Times New Roman"/>
      <w:b/>
      <w:i w:val="0"/>
      <w:sz w:val="24"/>
    </w:rPr>
  </w:style>
  <w:style w:type="character" w:customStyle="1" w:styleId="ListLabel3">
    <w:name w:val="ListLabel 3"/>
    <w:qFormat/>
    <w:rPr>
      <w:rFonts w:ascii="Times New Roman" w:hAnsi="Times New Roman"/>
      <w:b/>
      <w:i w:val="0"/>
      <w:sz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2E65ED"/>
    <w:pPr>
      <w:spacing w:after="200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4205F"/>
    <w:pPr>
      <w:spacing w:beforeAutospacing="1" w:after="142" w:line="288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885062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85062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01ECC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pPr>
      <w:spacing w:line="240" w:lineRule="auto"/>
    </w:pPr>
    <w:rPr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6B7718"/>
    <w:pPr>
      <w:spacing w:line="240" w:lineRule="auto"/>
    </w:pPr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42A48-C50C-46CD-858D-1AD8E0A6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Alex-PC</dc:creator>
  <cp:lastModifiedBy>Alex-PC</cp:lastModifiedBy>
  <cp:revision>5</cp:revision>
  <cp:lastPrinted>2017-05-02T11:17:00Z</cp:lastPrinted>
  <dcterms:created xsi:type="dcterms:W3CDTF">2017-05-02T11:15:00Z</dcterms:created>
  <dcterms:modified xsi:type="dcterms:W3CDTF">2017-05-02T11:31:00Z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