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auto"/>
          <w:sz w:val="48"/>
        </w:rPr>
        <w:t>административно – производственного контроля в</w:t>
        <w:t xml:space="preserve"> 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В целях соблюдения требований Федерального Закона «О промышленной безопасности опасных производственных объектов», в</w:t>
        <w:t xml:space="preserve"> Название головной организации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48"/>
        </w:rPr>
        <w:t>ПРИКАЗЫВАЮ: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1. Для осуществления административно-производственного контроля за состоянием охраны труда и промышленной безопасности в создать постоянно-действующую комиссию в составе: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председатель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зам. председателя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член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член комиссии, ответствен. за осуществление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rPr>
          <w:shd w:fill="ffff00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1. Постоянно-действующая комиссия административно-производственный контроля по охране труда, промышленной пожарной и экологической безопасности осуществляет в соответствии с СТО 00154223–40–2014 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  <w:t xml:space="preserve"> Название головной организации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1. Контроль за исполнением настоящего приказа возложить на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  <w:t xml:space="preserve"> Название организации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1. Приказ довести до сведения работников всех подразделений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  <w:t xml:space="preserve"> Название организации</w:t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color w:val="auto"/>
          <w:sz w:val="24"/>
        </w:rPr>
        <w:t>(должность) (подпись) (инициалы, фамилия)</w:t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2021-05-13T12:21:29Z</dcterms:created>
  <dc:creator>Apache POI</dc:creator>
</cp:coreProperties>
</file>