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c2d02df8fe3b61c6bfad86970358a9a0828f57"/>
    <w:p>
      <w:pPr>
        <w:pStyle w:val="Title"/>
      </w:pPr>
      <w:r>
        <w:t xml:space="preserve">Diretrizes matemáticas e probabilísticas para a inteligência do Agro Gestão</w:t>
      </w:r>
    </w:p>
    <w:p>
      <w:pPr>
        <w:pStyle w:val="FirstParagraph"/>
        <w:widowControl/>
      </w:pPr>
      <w:r>
        <w:t xml:space="preserve">Documento de integração para o Codex • Versão 1.0 • 20 de outubro de 2026</w:t>
      </w:r>
    </w:p>
    <w:bookmarkStart w:id="21" w:name="finalidade-e-ordem-de-execução"/>
    <w:p>
      <w:pPr>
        <w:pStyle w:val="Heading1"/>
        <w:keepNext/>
        <w:widowControl/>
      </w:pPr>
      <w:r>
        <w:rPr>
          <w:color w:val="000000"/>
        </w:rPr>
        <w:t xml:space="preserve">1 Finalidade e ordem de execução</w:t>
      </w:r>
    </w:p>
    <w:p>
      <w:pPr>
        <w:pStyle w:val="FirstParagraph"/>
        <w:widowControl/>
      </w:pPr>
      <w:r>
        <w:t xml:space="preserve">Este documento orienta o desenvolvimento de conselhos explicáveis para produtores rurais a partir do clima já integrado ao aplicativo e dos registros de vendas, estoque, clientes, custos e indicadores. A prioridade é melhorar decisões práticas com cálculos auditáveis, incerteza explícita e respeito ao contexto de cada propriedade. Trata-se de uma especificação proposta, não de uma auditoria do código atual nem de um modelo já validado com usuários reais.</w:t>
      </w:r>
    </w:p>
    <w:p>
      <w:pPr>
        <w:pStyle w:val="BodyText"/>
        <w:widowControl/>
      </w:pPr>
      <w:r>
        <w:rPr>
          <w:bCs/>
          <w:b/>
        </w:rPr>
        <w:t xml:space="preserve">Instrução obrigatória ao Codex:</w:t>
      </w:r>
      <w:r>
        <w:t xml:space="preserve"> </w:t>
      </w:r>
      <w:r>
        <w:t xml:space="preserve">antes de instalar, importar ou implementar estas diretrizes, verifique se já existem funções equivalentes no código, banco de dados, serviços, agentes, prompts, documentos de memória e arquivos de regras do Agro Gestão. Identifique duplicidades literais e semânticas, divergências de fórmulas, de unidades, de parâmetros e de conceitos. Reutilize ou amplie a implementação canônica. Não crie um segundo motor de clima, estoque, finanças, CRM ou KPIs para executar a mesma responsabilidade.</w:t>
      </w:r>
    </w:p>
    <w:p>
      <w:pPr>
        <w:pStyle w:val="BodyText"/>
        <w:widowControl/>
      </w:pPr>
      <w:r>
        <w:t xml:space="preserve">O Codex deverá produzir um diagnóstico concreto com os caminhos e símbolos encontrados, o comportamento atual, as diferenças e a decisão de reutilizar, complementar, migrar ou manter desativado. Itens não encontrados devem aparecer como</w:t>
      </w:r>
      <w:r>
        <w:t xml:space="preserve"> </w:t>
      </w:r>
      <w:r>
        <w:t xml:space="preserve">“</w:t>
      </w:r>
      <w:r>
        <w:t xml:space="preserve">não localizado no escopo inspecionado</w:t>
      </w:r>
      <w:r>
        <w:t xml:space="preserve">”</w:t>
      </w:r>
      <w:r>
        <w:t xml:space="preserve">, sem supor inexistência absoluta. Não declarar esta análise concluída apenas por ter lido o documento.</w:t>
      </w:r>
    </w:p>
    <w:p>
      <w:pPr>
        <w:pStyle w:val="BodyText"/>
        <w:widowControl/>
      </w:pPr>
      <w:r>
        <w:t xml:space="preserve">O trabalho deve seguir esta ordem: inventariar o projeto; definir contratos; reconciliar conceitos; implementar cálculos determinísticos; testar; integrar a explicação; validar com histórico; habilitar recomendações progressivamente. O ERP permanece a fonte oficial dos fatos transacionais. A inteligência consulta esses fatos e propõe ações pelos comandos existentes do aplicativo.</w:t>
      </w:r>
    </w:p>
    <w:bookmarkStart w:id="20" w:name="níveis-de-obrigação"/>
    <w:p>
      <w:pPr>
        <w:pStyle w:val="Heading2"/>
        <w:keepNext/>
        <w:widowControl/>
      </w:pPr>
      <w:r>
        <w:rPr>
          <w:color w:val="000000"/>
        </w:rPr>
        <w:t xml:space="preserve">Níveis de obrigação</w:t>
      </w:r>
    </w:p>
    <w:p>
      <w:pPr>
        <w:pStyle w:val="FirstParagraph"/>
        <w:widowControl/>
      </w:pPr>
      <w:r>
        <w:t xml:space="preserve">“</w:t>
      </w:r>
      <w:r>
        <w:t xml:space="preserve">Deve</w:t>
      </w:r>
      <w:r>
        <w:t xml:space="preserve">”</w:t>
      </w:r>
      <w:r>
        <w:t xml:space="preserve"> </w:t>
      </w:r>
      <w:r>
        <w:t xml:space="preserve">identifica requisito obrigatório.</w:t>
      </w:r>
      <w:r>
        <w:t xml:space="preserve"> </w:t>
      </w:r>
      <w:r>
        <w:t xml:space="preserve">“</w:t>
      </w:r>
      <w:r>
        <w:t xml:space="preserve">Pode</w:t>
      </w:r>
      <w:r>
        <w:t xml:space="preserve">”</w:t>
      </w:r>
      <w:r>
        <w:t xml:space="preserve"> </w:t>
      </w:r>
      <w:r>
        <w:t xml:space="preserve">identifica extensão condicionada aos dados e à validação. Fórmulas clássicas são identificadas pelo modelo; limites de operação, exemplos e políticas de implementação deste documento são propostas de produto, não leis científicas ou coeficientes locais comprovados.</w:t>
      </w:r>
    </w:p>
    <w:bookmarkEnd w:id="20"/>
    <w:bookmarkEnd w:id="21"/>
    <w:bookmarkStart w:id="22" w:name="auditoria-de-duplicidades-e-integração"/>
    <w:p>
      <w:pPr>
        <w:pStyle w:val="Heading1"/>
        <w:keepNext/>
        <w:widowControl/>
      </w:pPr>
      <w:r>
        <w:rPr>
          <w:color w:val="000000"/>
        </w:rPr>
        <w:t xml:space="preserve">2 Auditoria de duplicidades e integração</w:t>
      </w:r>
    </w:p>
    <w:p>
      <w:pPr>
        <w:pStyle w:val="FirstParagraph"/>
        <w:widowControl/>
      </w:pPr>
      <w:r>
        <w:t xml:space="preserve">Pesquisar termos e equivalentes em português e inglês, incluindo weather, forecast, clima, chuva, inventory, stock, vendas, revenue, profit, margin, ticket, customer, churn, risk, advice e intelligence. Inspecionar também documentos embarcados e regras obtidas por recuperação de texto. Hash detecta cópias idênticas; não substitui revisão das equivalências semânticas.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320"/>
      </w:tblGrid>
      <w:tr>
        <w:trPr>
          <w:cantSplit/>
          <w:tblHeader/>
        </w:trPr>
        <w:tc>
          <w:tcPr>
            <w:tcW w:type="dxa" w:w="1728"/>
            <w:vAlign w:val="center"/>
            <w:shd w:fill="DFE7ED"/>
            <w:tcMar>
              <w:top w:w="90" w:type="dxa"/>
              <w:left w:w="90" w:type="dxa"/>
              <w:bottom w:w="90" w:type="dxa"/>
              <w:right w:w="90" w:type="dxa"/>
            </w:tcMar>
          </w:tcPr>
          <w:p>
            <w:pPr>
              <w:spacing w:after="40" w:line="240" w:lineRule="auto"/>
            </w:pPr>
            <w:r>
              <w:rPr>
                <w:b/>
                <w:sz w:val="20"/>
              </w:rPr>
              <w:t>Área</w:t>
            </w:r>
          </w:p>
        </w:tc>
        <w:tc>
          <w:tcPr>
            <w:tcW w:type="dxa" w:w="3888"/>
            <w:vAlign w:val="center"/>
            <w:shd w:fill="DFE7ED"/>
            <w:tcMar>
              <w:top w:w="90" w:type="dxa"/>
              <w:left w:w="90" w:type="dxa"/>
              <w:bottom w:w="90" w:type="dxa"/>
              <w:right w:w="90" w:type="dxa"/>
            </w:tcMar>
          </w:tcPr>
          <w:p>
            <w:pPr>
              <w:spacing w:after="40" w:line="240" w:lineRule="auto"/>
            </w:pPr>
            <w:r>
              <w:rPr>
                <w:b/>
                <w:sz w:val="20"/>
              </w:rPr>
              <w:t>Verificação obrigatória</w:t>
            </w:r>
          </w:p>
        </w:tc>
        <w:tc>
          <w:tcPr>
            <w:tcW w:type="dxa" w:w="4320"/>
            <w:vAlign w:val="center"/>
            <w:shd w:fill="DFE7ED"/>
            <w:tcMar>
              <w:top w:w="90" w:type="dxa"/>
              <w:left w:w="90" w:type="dxa"/>
              <w:bottom w:w="90" w:type="dxa"/>
              <w:right w:w="90" w:type="dxa"/>
            </w:tcMar>
          </w:tcPr>
          <w:p>
            <w:pPr>
              <w:spacing w:after="40" w:line="240" w:lineRule="auto"/>
            </w:pPr>
            <w:r>
              <w:rPr>
                <w:b/>
                <w:sz w:val="20"/>
              </w:rPr>
              <w:t>Resultado esperado</w:t>
            </w:r>
          </w:p>
        </w:tc>
      </w:tr>
      <w:tr>
        <w:trPr>
          <w:cantSplit/>
        </w:trPr>
        <w:tc>
          <w:tcPr>
            <w:tcW w:type="dxa" w:w="1728"/>
            <w:vAlign w:val="center"/>
            <w:shd w:fill="FFFFFF"/>
            <w:tcMar>
              <w:top w:w="90" w:type="dxa"/>
              <w:left w:w="90" w:type="dxa"/>
              <w:bottom w:w="90" w:type="dxa"/>
              <w:right w:w="90" w:type="dxa"/>
            </w:tcMar>
          </w:tcPr>
          <w:p>
            <w:pPr>
              <w:spacing w:after="40" w:line="240" w:lineRule="auto"/>
            </w:pPr>
            <w:r>
              <w:rPr>
                <w:b w:val="0"/>
                <w:sz w:val="20"/>
              </w:rPr>
              <w:t>Clima</w:t>
            </w:r>
          </w:p>
        </w:tc>
        <w:tc>
          <w:tcPr>
            <w:tcW w:type="dxa" w:w="3888"/>
            <w:vAlign w:val="center"/>
            <w:shd w:fill="FFFFFF"/>
            <w:tcMar>
              <w:top w:w="90" w:type="dxa"/>
              <w:left w:w="90" w:type="dxa"/>
              <w:bottom w:w="90" w:type="dxa"/>
              <w:right w:w="90" w:type="dxa"/>
            </w:tcMar>
          </w:tcPr>
          <w:p>
            <w:pPr>
              <w:spacing w:after="40" w:line="240" w:lineRule="auto"/>
            </w:pPr>
            <w:r>
              <w:rPr>
                <w:b w:val="0"/>
                <w:sz w:val="20"/>
              </w:rPr>
              <w:t>Adaptador, cache, localidade, unidades, validade e alertas</w:t>
            </w:r>
          </w:p>
        </w:tc>
        <w:tc>
          <w:tcPr>
            <w:tcW w:type="dxa" w:w="4320"/>
            <w:vAlign w:val="center"/>
            <w:shd w:fill="FFFFFF"/>
            <w:tcMar>
              <w:top w:w="90" w:type="dxa"/>
              <w:left w:w="90" w:type="dxa"/>
              <w:bottom w:w="90" w:type="dxa"/>
              <w:right w:w="90" w:type="dxa"/>
            </w:tcMar>
          </w:tcPr>
          <w:p>
            <w:pPr>
              <w:spacing w:after="40" w:line="240" w:lineRule="auto"/>
            </w:pPr>
            <w:r>
              <w:rPr>
                <w:b w:val="0"/>
                <w:sz w:val="20"/>
              </w:rPr>
              <w:t>Uma interface canônica para a função instalada</w:t>
            </w:r>
          </w:p>
        </w:tc>
      </w:tr>
      <w:tr>
        <w:trPr>
          <w:cantSplit/>
        </w:trPr>
        <w:tc>
          <w:tcPr>
            <w:tcW w:type="dxa" w:w="1728"/>
            <w:vAlign w:val="center"/>
            <w:shd w:fill="F5F7F9"/>
            <w:tcMar>
              <w:top w:w="90" w:type="dxa"/>
              <w:left w:w="90" w:type="dxa"/>
              <w:bottom w:w="90" w:type="dxa"/>
              <w:right w:w="90" w:type="dxa"/>
            </w:tcMar>
          </w:tcPr>
          <w:p>
            <w:pPr>
              <w:spacing w:after="40" w:line="240" w:lineRule="auto"/>
            </w:pPr>
            <w:r>
              <w:rPr>
                <w:b w:val="0"/>
                <w:sz w:val="20"/>
              </w:rPr>
              <w:t>ERP e estoque</w:t>
            </w:r>
          </w:p>
        </w:tc>
        <w:tc>
          <w:tcPr>
            <w:tcW w:type="dxa" w:w="3888"/>
            <w:vAlign w:val="center"/>
            <w:shd w:fill="F5F7F9"/>
            <w:tcMar>
              <w:top w:w="90" w:type="dxa"/>
              <w:left w:w="90" w:type="dxa"/>
              <w:bottom w:w="90" w:type="dxa"/>
              <w:right w:w="90" w:type="dxa"/>
            </w:tcMar>
          </w:tcPr>
          <w:p>
            <w:pPr>
              <w:spacing w:after="40" w:line="240" w:lineRule="auto"/>
            </w:pPr>
            <w:r>
              <w:rPr>
                <w:b w:val="0"/>
                <w:sz w:val="20"/>
              </w:rPr>
              <w:t>Reserva, baixa, devolução, perdas e eventos</w:t>
            </w:r>
          </w:p>
        </w:tc>
        <w:tc>
          <w:tcPr>
            <w:tcW w:type="dxa" w:w="4320"/>
            <w:vAlign w:val="center"/>
            <w:shd w:fill="F5F7F9"/>
            <w:tcMar>
              <w:top w:w="90" w:type="dxa"/>
              <w:left w:w="90" w:type="dxa"/>
              <w:bottom w:w="90" w:type="dxa"/>
              <w:right w:w="90" w:type="dxa"/>
            </w:tcMar>
          </w:tcPr>
          <w:p>
            <w:pPr>
              <w:spacing w:after="40" w:line="240" w:lineRule="auto"/>
            </w:pPr>
            <w:r>
              <w:rPr>
                <w:b w:val="0"/>
                <w:sz w:val="20"/>
              </w:rPr>
              <w:t>Mesmas transações e identificadores existentes</w:t>
            </w:r>
          </w:p>
        </w:tc>
      </w:tr>
      <w:tr>
        <w:trPr>
          <w:cantSplit/>
        </w:trPr>
        <w:tc>
          <w:tcPr>
            <w:tcW w:type="dxa" w:w="1728"/>
            <w:vAlign w:val="center"/>
            <w:shd w:fill="FFFFFF"/>
            <w:tcMar>
              <w:top w:w="90" w:type="dxa"/>
              <w:left w:w="90" w:type="dxa"/>
              <w:bottom w:w="90" w:type="dxa"/>
              <w:right w:w="90" w:type="dxa"/>
            </w:tcMar>
          </w:tcPr>
          <w:p>
            <w:pPr>
              <w:spacing w:after="40" w:line="240" w:lineRule="auto"/>
            </w:pPr>
            <w:r>
              <w:rPr>
                <w:b w:val="0"/>
                <w:sz w:val="20"/>
              </w:rPr>
              <w:t>Finanças e KPIs</w:t>
            </w:r>
          </w:p>
        </w:tc>
        <w:tc>
          <w:tcPr>
            <w:tcW w:type="dxa" w:w="3888"/>
            <w:vAlign w:val="center"/>
            <w:shd w:fill="FFFFFF"/>
            <w:tcMar>
              <w:top w:w="90" w:type="dxa"/>
              <w:left w:w="90" w:type="dxa"/>
              <w:bottom w:w="90" w:type="dxa"/>
              <w:right w:w="90" w:type="dxa"/>
            </w:tcMar>
          </w:tcPr>
          <w:p>
            <w:pPr>
              <w:spacing w:after="40" w:line="240" w:lineRule="auto"/>
            </w:pPr>
            <w:r>
              <w:rPr>
                <w:b w:val="0"/>
                <w:sz w:val="20"/>
              </w:rPr>
              <w:t>Receita, custo, margem, lucro e caixa</w:t>
            </w:r>
          </w:p>
        </w:tc>
        <w:tc>
          <w:tcPr>
            <w:tcW w:type="dxa" w:w="4320"/>
            <w:vAlign w:val="center"/>
            <w:shd w:fill="FFFFFF"/>
            <w:tcMar>
              <w:top w:w="90" w:type="dxa"/>
              <w:left w:w="90" w:type="dxa"/>
              <w:bottom w:w="90" w:type="dxa"/>
              <w:right w:w="90" w:type="dxa"/>
            </w:tcMar>
          </w:tcPr>
          <w:p>
            <w:pPr>
              <w:spacing w:after="40" w:line="240" w:lineRule="auto"/>
            </w:pPr>
            <w:r>
              <w:rPr>
                <w:b w:val="0"/>
                <w:sz w:val="20"/>
              </w:rPr>
              <w:t>Dicionário único e cálculo compartilhado</w:t>
            </w:r>
          </w:p>
        </w:tc>
      </w:tr>
      <w:tr>
        <w:trPr>
          <w:cantSplit/>
        </w:trPr>
        <w:tc>
          <w:tcPr>
            <w:tcW w:type="dxa" w:w="1728"/>
            <w:vAlign w:val="center"/>
            <w:shd w:fill="F5F7F9"/>
            <w:tcMar>
              <w:top w:w="90" w:type="dxa"/>
              <w:left w:w="90" w:type="dxa"/>
              <w:bottom w:w="90" w:type="dxa"/>
              <w:right w:w="90" w:type="dxa"/>
            </w:tcMar>
          </w:tcPr>
          <w:p>
            <w:pPr>
              <w:spacing w:after="40" w:line="240" w:lineRule="auto"/>
            </w:pPr>
            <w:r>
              <w:rPr>
                <w:b w:val="0"/>
                <w:sz w:val="20"/>
              </w:rPr>
              <w:t>CRM</w:t>
            </w:r>
          </w:p>
        </w:tc>
        <w:tc>
          <w:tcPr>
            <w:tcW w:type="dxa" w:w="3888"/>
            <w:vAlign w:val="center"/>
            <w:shd w:fill="F5F7F9"/>
            <w:tcMar>
              <w:top w:w="90" w:type="dxa"/>
              <w:left w:w="90" w:type="dxa"/>
              <w:bottom w:w="90" w:type="dxa"/>
              <w:right w:w="90" w:type="dxa"/>
            </w:tcMar>
          </w:tcPr>
          <w:p>
            <w:pPr>
              <w:spacing w:after="40" w:line="240" w:lineRule="auto"/>
            </w:pPr>
            <w:r>
              <w:rPr>
                <w:b w:val="0"/>
                <w:sz w:val="20"/>
              </w:rPr>
              <w:t>Identidade, consentimento e histórico</w:t>
            </w:r>
          </w:p>
        </w:tc>
        <w:tc>
          <w:tcPr>
            <w:tcW w:type="dxa" w:w="4320"/>
            <w:vAlign w:val="center"/>
            <w:shd w:fill="F5F7F9"/>
            <w:tcMar>
              <w:top w:w="90" w:type="dxa"/>
              <w:left w:w="90" w:type="dxa"/>
              <w:bottom w:w="90" w:type="dxa"/>
              <w:right w:w="90" w:type="dxa"/>
            </w:tcMar>
          </w:tcPr>
          <w:p>
            <w:pPr>
              <w:spacing w:after="40" w:line="240" w:lineRule="auto"/>
            </w:pPr>
            <w:r>
              <w:rPr>
                <w:b w:val="0"/>
                <w:sz w:val="20"/>
              </w:rPr>
              <w:t>Sem cadastro ou recomendação duplicada</w:t>
            </w:r>
          </w:p>
        </w:tc>
      </w:tr>
      <w:tr>
        <w:trPr>
          <w:cantSplit/>
        </w:trPr>
        <w:tc>
          <w:tcPr>
            <w:tcW w:type="dxa" w:w="1728"/>
            <w:vAlign w:val="center"/>
            <w:shd w:fill="FFFFFF"/>
            <w:tcMar>
              <w:top w:w="90" w:type="dxa"/>
              <w:left w:w="90" w:type="dxa"/>
              <w:bottom w:w="90" w:type="dxa"/>
              <w:right w:w="90" w:type="dxa"/>
            </w:tcMar>
          </w:tcPr>
          <w:p>
            <w:pPr>
              <w:spacing w:after="40" w:line="240" w:lineRule="auto"/>
            </w:pPr>
            <w:r>
              <w:rPr>
                <w:b w:val="0"/>
                <w:sz w:val="20"/>
              </w:rPr>
              <w:t>Inteligência e textos</w:t>
            </w:r>
          </w:p>
        </w:tc>
        <w:tc>
          <w:tcPr>
            <w:tcW w:type="dxa" w:w="3888"/>
            <w:vAlign w:val="center"/>
            <w:shd w:fill="FFFFFF"/>
            <w:tcMar>
              <w:top w:w="90" w:type="dxa"/>
              <w:left w:w="90" w:type="dxa"/>
              <w:bottom w:w="90" w:type="dxa"/>
              <w:right w:w="90" w:type="dxa"/>
            </w:tcMar>
          </w:tcPr>
          <w:p>
            <w:pPr>
              <w:spacing w:after="40" w:line="240" w:lineRule="auto"/>
            </w:pPr>
            <w:r>
              <w:rPr>
                <w:b w:val="0"/>
                <w:sz w:val="20"/>
              </w:rPr>
              <w:t>Prompts, agentes, memória e regras recuperadas</w:t>
            </w:r>
          </w:p>
        </w:tc>
        <w:tc>
          <w:tcPr>
            <w:tcW w:type="dxa" w:w="4320"/>
            <w:vAlign w:val="center"/>
            <w:shd w:fill="FFFFFF"/>
            <w:tcMar>
              <w:top w:w="90" w:type="dxa"/>
              <w:left w:w="90" w:type="dxa"/>
              <w:bottom w:w="90" w:type="dxa"/>
              <w:right w:w="90" w:type="dxa"/>
            </w:tcMar>
          </w:tcPr>
          <w:p>
            <w:pPr>
              <w:spacing w:after="40" w:line="240" w:lineRule="auto"/>
            </w:pPr>
            <w:r>
              <w:rPr>
                <w:b w:val="0"/>
                <w:sz w:val="20"/>
              </w:rPr>
              <w:t>Uma regra ativa por finalidade e versão</w:t>
            </w:r>
          </w:p>
        </w:tc>
      </w:tr>
    </w:tbl>
    <w:p>
      <w:pPr>
        <w:pStyle w:val="BodyText"/>
        <w:widowControl/>
      </w:pPr>
      <w:r>
        <w:t xml:space="preserve">Criar um catálogo de regras com identificador estável, versão, finalidade, entradas, unidade, fórmula ou função executora, parâmetros, referência, testes e regras substituídas. Havendo conflito, preservar integridade transacional e a definição aprovada do domínio. Documentar a divergência antes de substituir resultados; não resolver simplesmente pela ordem em que textos são recuperados.</w:t>
      </w:r>
    </w:p>
    <w:p>
      <w:pPr>
        <w:pStyle w:val="BodyText"/>
        <w:widowControl/>
      </w:pPr>
      <w:r>
        <w:t xml:space="preserve">Qualquer migração deve ser reversível e preservar o histórico. Introduzir ativação por configuração e execução em modo de observação quando houver mudança relevante. Duas implementações podem coexistir temporariamente apenas para comparação controlada, com uma única saída ativa ao produtor.</w:t>
      </w:r>
    </w:p>
    <w:p>
      <w:pPr>
        <w:pStyle w:val="BodyText"/>
        <w:widowControl/>
      </w:pPr>
      <w:r>
        <w:rPr>
          <w:bCs/>
          <w:b/>
        </w:rPr>
        <w:t xml:space="preserve">Critério de aceitação:</w:t>
      </w:r>
      <w:r>
        <w:t xml:space="preserve"> </w:t>
      </w:r>
      <w:r>
        <w:t xml:space="preserve">a mesma venda, previsão e versão de regra devem produzir um único conjunto de indicadores e um único conselho ativo por finalidade. Reprocessamento não pode gerar nova baixa, nova receita ou nova mensagem. Nenhuma parte deste documento autoriza excluir módulos ou documentos sem avaliar seus consumidores.</w:t>
      </w:r>
    </w:p>
    <w:bookmarkEnd w:id="22"/>
    <w:bookmarkStart w:id="23" w:name="dados-canônicos-e-qualidade"/>
    <w:p>
      <w:pPr>
        <w:pStyle w:val="Heading1"/>
        <w:keepNext/>
        <w:widowControl/>
      </w:pPr>
      <w:r>
        <w:rPr>
          <w:color w:val="000000"/>
        </w:rPr>
        <w:t xml:space="preserve">3 Dados canônicos e qualidade</w:t>
      </w:r>
    </w:p>
    <w:p>
      <w:pPr>
        <w:pStyle w:val="FirstParagraph"/>
        <w:widowControl/>
      </w:pPr>
      <w:r>
        <w:t xml:space="preserve">Cada cálculo deve usar um retrato consistente dos dados, com identificação do produtor e da origem. A separação entre pessoas e organizações deve seguir o modelo de identidade já instalado, sem duplicar clientes por grafia ou telefone. Isolar os dados entre produtores e coletar apenas o necessário.</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DFE7ED"/>
            <w:tcMar>
              <w:top w:w="90" w:type="dxa"/>
              <w:left w:w="90" w:type="dxa"/>
              <w:bottom w:w="90" w:type="dxa"/>
              <w:right w:w="90" w:type="dxa"/>
            </w:tcMar>
          </w:tcPr>
          <w:p>
            <w:pPr>
              <w:spacing w:after="40" w:line="240" w:lineRule="auto"/>
            </w:pPr>
            <w:r>
              <w:rPr>
                <w:b/>
                <w:sz w:val="20"/>
              </w:rPr>
              <w:t>Domínio</w:t>
            </w:r>
          </w:p>
        </w:tc>
        <w:tc>
          <w:tcPr>
            <w:tcW w:type="dxa" w:w="7704"/>
            <w:vAlign w:val="center"/>
            <w:shd w:fill="DFE7ED"/>
            <w:tcMar>
              <w:top w:w="90" w:type="dxa"/>
              <w:left w:w="90" w:type="dxa"/>
              <w:bottom w:w="90" w:type="dxa"/>
              <w:right w:w="90" w:type="dxa"/>
            </w:tcMar>
          </w:tcPr>
          <w:p>
            <w:pPr>
              <w:spacing w:after="40" w:line="240" w:lineRule="auto"/>
            </w:pPr>
            <w:r>
              <w:rPr>
                <w:b/>
                <w:sz w:val="20"/>
              </w:rPr>
              <w:t>Campos mínimos para o uso pretendido</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Produto</w:t>
            </w:r>
          </w:p>
        </w:tc>
        <w:tc>
          <w:tcPr>
            <w:tcW w:type="dxa" w:w="7704"/>
            <w:vAlign w:val="center"/>
            <w:shd w:fill="FFFFFF"/>
            <w:tcMar>
              <w:top w:w="90" w:type="dxa"/>
              <w:left w:w="90" w:type="dxa"/>
              <w:bottom w:w="90" w:type="dxa"/>
              <w:right w:w="90" w:type="dxa"/>
            </w:tcMar>
          </w:tcPr>
          <w:p>
            <w:pPr>
              <w:spacing w:after="40" w:line="240" w:lineRule="auto"/>
            </w:pPr>
            <w:r>
              <w:rPr>
                <w:b w:val="0"/>
                <w:sz w:val="20"/>
              </w:rPr>
              <w:t>Identificador, família, condição, peso, unidade de venda e conversões explícitas</w:t>
            </w:r>
          </w:p>
        </w:tc>
      </w:tr>
      <w:tr>
        <w:trPr>
          <w:cantSplit/>
        </w:trPr>
        <w:tc>
          <w:tcPr>
            <w:tcW w:type="dxa" w:w="2232"/>
            <w:vAlign w:val="center"/>
            <w:shd w:fill="F5F7F9"/>
            <w:tcMar>
              <w:top w:w="90" w:type="dxa"/>
              <w:left w:w="90" w:type="dxa"/>
              <w:bottom w:w="90" w:type="dxa"/>
              <w:right w:w="90" w:type="dxa"/>
            </w:tcMar>
          </w:tcPr>
          <w:p>
            <w:pPr>
              <w:spacing w:after="40" w:line="240" w:lineRule="auto"/>
            </w:pPr>
            <w:r>
              <w:rPr>
                <w:b w:val="0"/>
                <w:sz w:val="20"/>
              </w:rPr>
              <w:t>Venda</w:t>
            </w:r>
          </w:p>
        </w:tc>
        <w:tc>
          <w:tcPr>
            <w:tcW w:type="dxa" w:w="7704"/>
            <w:vAlign w:val="center"/>
            <w:shd w:fill="F5F7F9"/>
            <w:tcMar>
              <w:top w:w="90" w:type="dxa"/>
              <w:left w:w="90" w:type="dxa"/>
              <w:bottom w:w="90" w:type="dxa"/>
              <w:right w:w="90" w:type="dxa"/>
            </w:tcMar>
          </w:tcPr>
          <w:p>
            <w:pPr>
              <w:spacing w:after="40" w:line="240" w:lineRule="auto"/>
            </w:pPr>
            <w:r>
              <w:rPr>
                <w:b w:val="0"/>
                <w:sz w:val="20"/>
              </w:rPr>
              <w:t>Itens, quantidades, preço, desconto, status, data, canal e evento quando existir</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Estoque</w:t>
            </w:r>
          </w:p>
        </w:tc>
        <w:tc>
          <w:tcPr>
            <w:tcW w:type="dxa" w:w="7704"/>
            <w:vAlign w:val="center"/>
            <w:shd w:fill="FFFFFF"/>
            <w:tcMar>
              <w:top w:w="90" w:type="dxa"/>
              <w:left w:w="90" w:type="dxa"/>
              <w:bottom w:w="90" w:type="dxa"/>
              <w:right w:w="90" w:type="dxa"/>
            </w:tcMar>
          </w:tcPr>
          <w:p>
            <w:pPr>
              <w:spacing w:after="40" w:line="240" w:lineRule="auto"/>
            </w:pPr>
            <w:r>
              <w:rPr>
                <w:b w:val="0"/>
                <w:sz w:val="20"/>
              </w:rPr>
              <w:t>Saldo físico, reservas, bloqueios, perdas, lote, validade e entradas confirmadas</w:t>
            </w:r>
          </w:p>
        </w:tc>
      </w:tr>
      <w:tr>
        <w:trPr>
          <w:cantSplit/>
        </w:trPr>
        <w:tc>
          <w:tcPr>
            <w:tcW w:type="dxa" w:w="2232"/>
            <w:vAlign w:val="center"/>
            <w:shd w:fill="F5F7F9"/>
            <w:tcMar>
              <w:top w:w="90" w:type="dxa"/>
              <w:left w:w="90" w:type="dxa"/>
              <w:bottom w:w="90" w:type="dxa"/>
              <w:right w:w="90" w:type="dxa"/>
            </w:tcMar>
          </w:tcPr>
          <w:p>
            <w:pPr>
              <w:spacing w:after="40" w:line="240" w:lineRule="auto"/>
            </w:pPr>
            <w:r>
              <w:rPr>
                <w:b w:val="0"/>
                <w:sz w:val="20"/>
              </w:rPr>
              <w:t>Custo</w:t>
            </w:r>
          </w:p>
        </w:tc>
        <w:tc>
          <w:tcPr>
            <w:tcW w:type="dxa" w:w="7704"/>
            <w:vAlign w:val="center"/>
            <w:shd w:fill="F5F7F9"/>
            <w:tcMar>
              <w:top w:w="90" w:type="dxa"/>
              <w:left w:w="90" w:type="dxa"/>
              <w:bottom w:w="90" w:type="dxa"/>
              <w:right w:w="90" w:type="dxa"/>
            </w:tcMar>
          </w:tcPr>
          <w:p>
            <w:pPr>
              <w:spacing w:after="40" w:line="240" w:lineRule="auto"/>
            </w:pPr>
            <w:r>
              <w:rPr>
                <w:b w:val="0"/>
                <w:sz w:val="20"/>
              </w:rPr>
              <w:t>Custo unitário ou por lote, despesas variáveis, fixas, moeda e vigência</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Clima</w:t>
            </w:r>
          </w:p>
        </w:tc>
        <w:tc>
          <w:tcPr>
            <w:tcW w:type="dxa" w:w="7704"/>
            <w:vAlign w:val="center"/>
            <w:shd w:fill="FFFFFF"/>
            <w:tcMar>
              <w:top w:w="90" w:type="dxa"/>
              <w:left w:w="90" w:type="dxa"/>
              <w:bottom w:w="90" w:type="dxa"/>
              <w:right w:w="90" w:type="dxa"/>
            </w:tcMar>
          </w:tcPr>
          <w:p>
            <w:pPr>
              <w:spacing w:after="40" w:line="240" w:lineRule="auto"/>
            </w:pPr>
            <w:r>
              <w:rPr>
                <w:b w:val="0"/>
                <w:sz w:val="20"/>
              </w:rPr>
              <w:t>Fonte, coordenadas, emissão, validade, coleta, variável, unidade e horizonte</w:t>
            </w:r>
          </w:p>
        </w:tc>
      </w:tr>
      <w:tr>
        <w:trPr>
          <w:cantSplit/>
        </w:trPr>
        <w:tc>
          <w:tcPr>
            <w:tcW w:type="dxa" w:w="2232"/>
            <w:vAlign w:val="center"/>
            <w:shd w:fill="F5F7F9"/>
            <w:tcMar>
              <w:top w:w="90" w:type="dxa"/>
              <w:left w:w="90" w:type="dxa"/>
              <w:bottom w:w="90" w:type="dxa"/>
              <w:right w:w="90" w:type="dxa"/>
            </w:tcMar>
          </w:tcPr>
          <w:p>
            <w:pPr>
              <w:spacing w:after="40" w:line="240" w:lineRule="auto"/>
            </w:pPr>
            <w:r>
              <w:rPr>
                <w:b w:val="0"/>
                <w:sz w:val="20"/>
              </w:rPr>
              <w:t>Cliente</w:t>
            </w:r>
          </w:p>
        </w:tc>
        <w:tc>
          <w:tcPr>
            <w:tcW w:type="dxa" w:w="7704"/>
            <w:vAlign w:val="center"/>
            <w:shd w:fill="F5F7F9"/>
            <w:tcMar>
              <w:top w:w="90" w:type="dxa"/>
              <w:left w:w="90" w:type="dxa"/>
              <w:bottom w:w="90" w:type="dxa"/>
              <w:right w:w="90" w:type="dxa"/>
            </w:tcMar>
          </w:tcPr>
          <w:p>
            <w:pPr>
              <w:spacing w:after="40" w:line="240" w:lineRule="auto"/>
            </w:pPr>
            <w:r>
              <w:rPr>
                <w:b w:val="0"/>
                <w:sz w:val="20"/>
              </w:rPr>
              <w:t>Identificador, compras, canal permitido e consentimento aplicável</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Operação</w:t>
            </w:r>
          </w:p>
        </w:tc>
        <w:tc>
          <w:tcPr>
            <w:tcW w:type="dxa" w:w="7704"/>
            <w:vAlign w:val="center"/>
            <w:shd w:fill="FFFFFF"/>
            <w:tcMar>
              <w:top w:w="90" w:type="dxa"/>
              <w:left w:w="90" w:type="dxa"/>
              <w:bottom w:w="90" w:type="dxa"/>
              <w:right w:w="90" w:type="dxa"/>
            </w:tcMar>
          </w:tcPr>
          <w:p>
            <w:pPr>
              <w:spacing w:after="40" w:line="240" w:lineRule="auto"/>
            </w:pPr>
            <w:r>
              <w:rPr>
                <w:b w:val="0"/>
                <w:sz w:val="20"/>
              </w:rPr>
              <w:t>Horário aberto, ruptura, feira, entrega, capacidade e calendário</w:t>
            </w:r>
          </w:p>
        </w:tc>
      </w:tr>
    </w:tbl>
    <w:p>
      <w:pPr>
        <w:pStyle w:val="BodyText"/>
        <w:widowControl/>
      </w:pPr>
      <w:r>
        <w:t xml:space="preserve">Usar o fuso da localidade da operação; para Carangola, America/Sao_Paulo. Armazenar instantes com referência inequívoca e converter para apresentação e agregações locais. Um dia sem funcionamento não é um dia aberto sem venda. Dado ausente, zero, não aplicável e inválido devem ser estados distintos.</w:t>
      </w:r>
    </w:p>
    <w:p>
      <w:pPr>
        <w:pStyle w:val="BodyText"/>
        <w:widowControl/>
      </w:pPr>
      <w:r>
        <w:t xml:space="preserve">Nunca converter automaticamente maço, molho, dúzia, caixa, cacho, quilograma ou unidade sem uma relação cadastrada. O catálogo linguístico pode reconhecer sinônimos, mas não determina peso físico. Café especial moído de 250 g e de 500 g são variantes distintas; o agrupamento por família não elimina seus saldos próprios.</w:t>
      </w:r>
    </w:p>
    <w:p>
      <w:pPr>
        <w:pStyle w:val="BodyText"/>
        <w:widowControl/>
      </w:pPr>
      <w:r>
        <w:t xml:space="preserve">Marcar registros como reais, demonstração ou simulação. Dados fictícios podem testar telas e fórmulas, mas devem ser excluídos do treinamento e dos conselhos reais por padrão. Não afirmar que os dados atuais são reais ou fictícios sem verificar o projeto.</w:t>
      </w:r>
    </w:p>
    <w:p>
      <w:pPr>
        <w:pStyle w:val="BodyText"/>
        <w:widowControl/>
      </w:pPr>
      <w:r>
        <w:t xml:space="preserve">Validar consistência, atualidade, completude, disponibilidade e representatividade separadamente. Não converter uma pontuação de qualidade em probabilidade de acerto. Se preço de custo está ausente, faturamento pode ser calculado; lucro não pode ser inventado. Registrar a lacuna e pedir somente a informação que muda a decisão.</w:t>
      </w:r>
    </w:p>
    <w:bookmarkEnd w:id="23"/>
    <w:bookmarkStart w:id="24" w:name="núcleo-científico-de-cálculo"/>
    <w:p>
      <w:pPr>
        <w:pStyle w:val="Heading1"/>
        <w:keepNext/>
        <w:widowControl/>
      </w:pPr>
      <w:r>
        <w:rPr>
          <w:color w:val="000000"/>
        </w:rPr>
        <w:t xml:space="preserve">4 Núcleo científico de cálculo</w:t>
      </w:r>
    </w:p>
    <w:p>
      <w:pPr>
        <w:pStyle w:val="FirstParagraph"/>
        <w:widowControl/>
      </w:pPr>
      <w:r>
        <w:t xml:space="preserve">Aplicar disciplina de calculadora científica: dimensão física, domínio matemático, precisão, arredondamento e rastreabilidade. Não há vínculo, certificação ou validação da Hewlett Packard associada a este documento.</w:t>
      </w:r>
    </w:p>
    <w:p>
      <w:pPr>
        <w:pStyle w:val="BodyText"/>
        <w:widowControl/>
      </w:pPr>
      <w:r>
        <w:t xml:space="preserve">Valores monetários devem usar inteiros em centavos ou tipo decimal de precisão definida. Quantidades fracionárias requerem decimal e escala compatível com a unidade. Modelos estatísticos podem usar ponto flutuante com tolerâncias documentadas. Arredondar na fronteira definida pela regra comercial e conciliar centavos entre itens; não arredondar intermediários sem necessidade.</w:t>
      </w:r>
    </w:p>
    <w:p>
      <w:pPr>
        <w:pStyle w:val="BodyText"/>
        <w:widowControl/>
      </w:pPr>
      <w:r>
        <w:t xml:space="preserve">Para uma função diferenciável de variáveis aleatórias, uma aproximação de primeira ordem da variância é:</w:t>
      </w:r>
    </w:p>
    <w:p>
      <w:pPr>
        <w:pStyle w:val="BodyText"/>
        <w:widowControl/>
      </w:pPr>
      <m:oMathPara>
        <m:oMathParaPr>
          <m:jc m:val="center"/>
        </m:oMathParaPr>
        <m:oMath>
          <m:r>
            <m:rPr>
              <m:sty m:val="p"/>
            </m:rPr>
            <m:t>Var</m:t>
          </m:r>
          <m:d>
            <m:dPr>
              <m:begChr m:val="["/>
              <m:endChr m:val="]"/>
              <m:sepChr m:val=""/>
              <m:grow/>
            </m:dPr>
            <m:e>
              <m:r>
                <m:t>f</m:t>
              </m:r>
              <m:d>
                <m:dPr>
                  <m:begChr m:val="("/>
                  <m:endChr m:val=")"/>
                  <m:sepChr m:val=""/>
                  <m:grow/>
                </m:dPr>
                <m:e>
                  <m:r>
                    <m:t>X</m:t>
                  </m:r>
                </m:e>
              </m:d>
            </m:e>
          </m:d>
          <m:r>
            <m:rPr>
              <m:sty m:val="p"/>
            </m:rPr>
            <m:t>≈</m:t>
          </m:r>
          <m:r>
            <m:rPr>
              <m:sty m:val="p"/>
            </m:rPr>
            <m:t>∇</m:t>
          </m:r>
          <m:r>
            <m:t>f</m:t>
          </m:r>
          <m:sSup>
            <m:e>
              <m:d>
                <m:dPr>
                  <m:begChr m:val="("/>
                  <m:endChr m:val=")"/>
                  <m:sepChr m:val=""/>
                  <m:grow/>
                </m:dPr>
                <m:e>
                  <m:r>
                    <m:t>μ</m:t>
                  </m:r>
                </m:e>
              </m:d>
            </m:e>
            <m:sup>
              <m:r>
                <m:rPr>
                  <m:sty m:val="p"/>
                  <m:scr m:val="sans-serif"/>
                </m:rPr>
                <m:t>T</m:t>
              </m:r>
            </m:sup>
          </m:sSup>
          <m:r>
            <m:t>Σ</m:t>
          </m:r>
          <m:r>
            <m:rPr>
              <m:sty m:val="p"/>
            </m:rPr>
            <m:t>∇</m:t>
          </m:r>
          <m:r>
            <m:t>f</m:t>
          </m:r>
          <m:d>
            <m:dPr>
              <m:begChr m:val="("/>
              <m:endChr m:val=")"/>
              <m:sepChr m:val=""/>
              <m:grow/>
            </m:dPr>
            <m:e>
              <m:r>
                <m:t>μ</m:t>
              </m:r>
            </m:e>
          </m:d>
        </m:oMath>
      </m:oMathPara>
    </w:p>
    <w:p>
      <w:pPr>
        <w:pStyle w:val="FirstParagraph"/>
        <w:widowControl/>
      </w:pPr>
      <w:r>
        <w:t xml:space="preserve">Aqui,</w:t>
      </w:r>
      <w:r>
        <w:t xml:space="preserve"> </w:t>
      </w:r>
      <m:oMath>
        <m:r>
          <m:t>X</m:t>
        </m:r>
      </m:oMath>
      <w:r>
        <w:t xml:space="preserve"> </w:t>
      </w:r>
      <w:r>
        <w:t xml:space="preserve">é o vetor de entradas,</w:t>
      </w:r>
      <w:r>
        <w:t xml:space="preserve"> </w:t>
      </w:r>
      <m:oMath>
        <m:r>
          <m:t>μ</m:t>
        </m:r>
      </m:oMath>
      <w:r>
        <w:t xml:space="preserve"> </w:t>
      </w:r>
      <w:r>
        <w:t xml:space="preserve">sua média e</w:t>
      </w:r>
      <w:r>
        <w:t xml:space="preserve"> </w:t>
      </w:r>
      <m:oMath>
        <m:r>
          <m:t>Σ</m:t>
        </m:r>
      </m:oMath>
      <w:r>
        <w:t xml:space="preserve"> </w:t>
      </w:r>
      <w:r>
        <w:t xml:space="preserve">a matriz de covariância. Usar apenas quando a aproximação local fizer sentido. Para relações não lineares fortes, assimétricas ou com limites, preferir propagação por cenários ou simulação. Covariâncias não podem ser descartadas por conveniência.</w:t>
      </w:r>
    </w:p>
    <w:p>
      <w:pPr>
        <w:pStyle w:val="BodyText"/>
        <w:widowControl/>
      </w:pPr>
      <w:r>
        <w:t xml:space="preserve">Toda divisão deve tratar denominador nulo; logaritmos exigem entradas positivas; taxas devem declarar base e período. Valores não finitos devem interromper o cálculo com motivo explícito. Valores negativos podem ser legítimos para temperatura, caixa ou resultado, mas não para estoque físico vendável sem uma regra de inconsistência.</w:t>
      </w:r>
    </w:p>
    <w:p>
      <w:pPr>
        <w:pStyle w:val="BodyText"/>
        <w:widowControl/>
      </w:pPr>
      <w:r>
        <w:t xml:space="preserve">Intervalo de confiança de um parâmetro e intervalo de previsão de uma venda futura são objetos diferentes. P10, P50 e P90 indicam quantis de uma distribuição declarada; não são automaticamente limites de um intervalo de confiança nem</w:t>
      </w:r>
      <w:r>
        <w:t xml:space="preserve"> </w:t>
      </w:r>
      <w:r>
        <w:t xml:space="preserve">“</w:t>
      </w:r>
      <w:r>
        <w:t xml:space="preserve">melhor, médio e pior caso</w:t>
      </w:r>
      <w:r>
        <w:t xml:space="preserve">”</w:t>
      </w:r>
      <w:r>
        <w:t xml:space="preserve">. Cenários sem probabilidades validadas devem permanecer cenários.</w:t>
      </w:r>
    </w:p>
    <w:p>
      <w:pPr>
        <w:pStyle w:val="BodyText"/>
        <w:widowControl/>
      </w:pPr>
      <w:r>
        <w:t xml:space="preserve">Cada resultado deve informar unidade, janela temporal, população, método, versão, entradas e condições de validade. O modelo de linguagem não deve executar aritmética crítica por texto livre nem modificar números calculados para tornar a resposta convincente.</w:t>
      </w:r>
    </w:p>
    <w:bookmarkEnd w:id="24"/>
    <w:bookmarkStart w:id="25" w:name="probabilidade-e-decisão-econômica"/>
    <w:p>
      <w:pPr>
        <w:pStyle w:val="Heading1"/>
        <w:keepNext/>
        <w:widowControl/>
      </w:pPr>
      <w:r>
        <w:rPr>
          <w:color w:val="000000"/>
        </w:rPr>
        <w:t xml:space="preserve">5 Probabilidade e decisão econômica</w:t>
      </w:r>
    </w:p>
    <w:p>
      <w:pPr>
        <w:pStyle w:val="FirstParagraph"/>
        <w:widowControl/>
      </w:pPr>
      <w:r>
        <w:t xml:space="preserve">Definir o evento antes de apresentar uma chance: por exemplo,</w:t>
      </w:r>
      <w:r>
        <w:t xml:space="preserve"> </w:t>
      </w:r>
      <w:r>
        <w:t xml:space="preserve">“</w:t>
      </w:r>
      <w:r>
        <w:t xml:space="preserve">demanda maior que o estoque disponível durante a feira de sábado</w:t>
      </w:r>
      <w:r>
        <w:t xml:space="preserve">”</w:t>
      </w:r>
      <w:r>
        <w:t xml:space="preserve">. Registrar local, período e condicionantes. A probabilidade é condicional às informações disponíveis; não é promessa individual.</w:t>
      </w:r>
    </w:p>
    <w:p>
      <w:pPr>
        <w:pStyle w:val="BodyText"/>
        <w:widowControl/>
      </w:pPr>
      <w:r>
        <w:t xml:space="preserve">A atualização bayesiana estabelece a relação geral:</w:t>
      </w:r>
    </w:p>
    <w:p>
      <w:pPr>
        <w:pStyle w:val="BodyText"/>
        <w:widowControl/>
      </w:pPr>
      <m:oMathPara>
        <m:oMathParaPr>
          <m:jc m:val="center"/>
        </m:oMathParaPr>
        <m:oMath>
          <m:r>
            <m:t>P</m:t>
          </m:r>
          <m:d>
            <m:dPr>
              <m:begChr m:val="("/>
              <m:endChr m:val=")"/>
              <m:sepChr m:val=""/>
              <m:grow/>
            </m:dPr>
            <m:e>
              <m:r>
                <m:t>θ</m:t>
              </m:r>
              <m:r>
                <m:rPr>
                  <m:sty m:val="p"/>
                </m:rPr>
                <m:t>∣</m:t>
              </m:r>
              <m:r>
                <m:t>D</m:t>
              </m:r>
            </m:e>
          </m:d>
          <m:r>
            <m:rPr>
              <m:sty m:val="p"/>
            </m:rPr>
            <m:t>=</m:t>
          </m:r>
          <m:f>
            <m:fPr>
              <m:type m:val="bar"/>
            </m:fPr>
            <m:num>
              <m:r>
                <m:t>P</m:t>
              </m:r>
              <m:d>
                <m:dPr>
                  <m:begChr m:val="("/>
                  <m:endChr m:val=")"/>
                  <m:sepChr m:val=""/>
                  <m:grow/>
                </m:dPr>
                <m:e>
                  <m:r>
                    <m:t>D</m:t>
                  </m:r>
                  <m:r>
                    <m:rPr>
                      <m:sty m:val="p"/>
                    </m:rPr>
                    <m:t>∣</m:t>
                  </m:r>
                  <m:r>
                    <m:t>θ</m:t>
                  </m:r>
                </m:e>
              </m:d>
              <m:r>
                <m:t>P</m:t>
              </m:r>
              <m:d>
                <m:dPr>
                  <m:begChr m:val="("/>
                  <m:endChr m:val=")"/>
                  <m:sepChr m:val=""/>
                  <m:grow/>
                </m:dPr>
                <m:e>
                  <m:r>
                    <m:t>θ</m:t>
                  </m:r>
                </m:e>
              </m:d>
            </m:num>
            <m:den>
              <m:r>
                <m:t>P</m:t>
              </m:r>
              <m:d>
                <m:dPr>
                  <m:begChr m:val="("/>
                  <m:endChr m:val=")"/>
                  <m:sepChr m:val=""/>
                  <m:grow/>
                </m:dPr>
                <m:e>
                  <m:r>
                    <m:t>D</m:t>
                  </m:r>
                </m:e>
              </m:d>
            </m:den>
          </m:f>
        </m:oMath>
      </m:oMathPara>
    </w:p>
    <w:p>
      <w:pPr>
        <w:pStyle w:val="FirstParagraph"/>
        <w:widowControl/>
      </w:pPr>
      <m:oMath>
        <m:r>
          <m:t>D</m:t>
        </m:r>
      </m:oMath>
      <w:r>
        <w:t xml:space="preserve"> </w:t>
      </w:r>
      <w:r>
        <w:t xml:space="preserve">representa os dados e</w:t>
      </w:r>
      <w:r>
        <w:t xml:space="preserve"> </w:t>
      </w:r>
      <m:oMath>
        <m:r>
          <m:t>θ</m:t>
        </m:r>
      </m:oMath>
      <w:r>
        <w:t xml:space="preserve"> </w:t>
      </w:r>
      <w:r>
        <w:t xml:space="preserve">o parâmetro desconhecido. Prior deve ter origem documentada; não escolher uma distribuição apenas para produzir um conselho desejado. Verificar sensibilidade a priors quando o histórico é curto. Não contar observações correlacionadas como evidências independentes.</w:t>
      </w:r>
    </w:p>
    <w:p>
      <w:pPr>
        <w:pStyle w:val="BodyText"/>
        <w:widowControl/>
      </w:pPr>
      <w:r>
        <w:t xml:space="preserve">Para uma ação</w:t>
      </w:r>
      <w:r>
        <w:t xml:space="preserve"> </w:t>
      </w:r>
      <m:oMath>
        <m:r>
          <m:t>a</m:t>
        </m:r>
      </m:oMath>
      <w:r>
        <w:t xml:space="preserve"> </w:t>
      </w:r>
      <w:r>
        <w:t xml:space="preserve">e cenários mutuamente exclusivos e exaustivos</w:t>
      </w:r>
      <w:r>
        <w:t xml:space="preserve"> </w:t>
      </w:r>
      <m:oMath>
        <m:r>
          <m:t>s</m:t>
        </m:r>
      </m:oMath>
      <w:r>
        <w:t xml:space="preserve">, comparar o valor esperado:</w:t>
      </w:r>
    </w:p>
    <w:p>
      <w:pPr>
        <w:pStyle w:val="BodyText"/>
        <w:widowControl/>
      </w:pPr>
      <m:oMathPara>
        <m:oMathParaPr>
          <m:jc m:val="center"/>
        </m:oMathParaPr>
        <m:oMath>
          <m:r>
            <m:t>E</m:t>
          </m:r>
          <m:r>
            <m:t>V</m:t>
          </m:r>
          <m:d>
            <m:dPr>
              <m:begChr m:val="("/>
              <m:endChr m:val=")"/>
              <m:sepChr m:val=""/>
              <m:grow/>
            </m:dPr>
            <m:e>
              <m:r>
                <m:t>a</m:t>
              </m:r>
            </m:e>
          </m:d>
          <m:r>
            <m:rPr>
              <m:sty m:val="p"/>
            </m:rPr>
            <m:t>=</m:t>
          </m:r>
          <m:nary>
            <m:naryPr>
              <m:chr m:val="∑"/>
              <m:limLoc m:val="undOvr"/>
              <m:subHide m:val="off"/>
              <m:supHide m:val="on"/>
            </m:naryPr>
            <m:sub>
              <m:r>
                <m:t>s</m:t>
              </m:r>
            </m:sub>
            <m:sup>
              <m:r>
                <m:t>​</m:t>
              </m:r>
            </m:sup>
            <m:e>
              <m:r>
                <m:t>P</m:t>
              </m:r>
            </m:e>
          </m:nary>
          <m:d>
            <m:dPr>
              <m:begChr m:val="("/>
              <m:endChr m:val=")"/>
              <m:sepChr m:val=""/>
              <m:grow/>
            </m:dPr>
            <m:e>
              <m:r>
                <m:t>s</m:t>
              </m:r>
              <m:r>
                <m:rPr>
                  <m:sty m:val="p"/>
                </m:rPr>
                <m:t>∣</m:t>
              </m:r>
              <m:r>
                <m:t>D</m:t>
              </m:r>
            </m:e>
          </m:d>
          <m:r>
            <m:t> </m:t>
          </m:r>
          <m:r>
            <m:t>Π</m:t>
          </m:r>
          <m:d>
            <m:dPr>
              <m:begChr m:val="("/>
              <m:endChr m:val=")"/>
              <m:sepChr m:val=""/>
              <m:grow/>
            </m:dPr>
            <m:e>
              <m:r>
                <m:t>a</m:t>
              </m:r>
              <m:r>
                <m:rPr>
                  <m:sty m:val="p"/>
                </m:rPr>
                <m:t>,</m:t>
              </m:r>
              <m:r>
                <m:t>s</m:t>
              </m:r>
            </m:e>
          </m:d>
        </m:oMath>
      </m:oMathPara>
    </w:p>
    <w:p>
      <w:pPr>
        <w:pStyle w:val="FirstParagraph"/>
        <w:widowControl/>
      </w:pPr>
      <m:oMath>
        <m:r>
          <m:t>Π</m:t>
        </m:r>
      </m:oMath>
      <w:r>
        <w:t xml:space="preserve"> </w:t>
      </w:r>
      <w:r>
        <w:t xml:space="preserve">é o resultado econômico líquido incremental, em reais, em horizonte comum. Incluir custo da ação, perdas, capacidade e alternativa de não agir. Valor esperado positivo não elimina risco de perda nem restrição de caixa.</w:t>
      </w:r>
    </w:p>
    <w:p>
      <w:pPr>
        <w:pStyle w:val="BodyText"/>
        <w:widowControl/>
      </w:pPr>
      <w:r>
        <w:rPr>
          <w:bCs/>
          <w:b/>
        </w:rPr>
        <w:t xml:space="preserve">Exemplo fictício de proteção de mercadoria:</w:t>
      </w:r>
      <w:r>
        <w:t xml:space="preserve"> </w:t>
      </w:r>
      <w:r>
        <w:t xml:space="preserve">proteger custa R$ 30 e evitaria R$ 200 de perda se ocorrer um evento definido de chuva danosa, com proteção totalmente eficaz na hipótese. Se a chance validamente disponível desse evento for 40%, o benefício líquido esperado é R$ 50. O limiar de indiferença é 15%. A chance de chuva mensurável do provedor não pode substituir automaticamente a chance de dano. Se eficácia ou exposição forem parciais, o benefício evitado deve ser reduzido.</w:t>
      </w:r>
    </w:p>
    <w:p>
      <w:pPr>
        <w:pStyle w:val="BodyText"/>
        <w:widowControl/>
      </w:pPr>
      <w:r>
        <w:t xml:space="preserve">Quando probabilidades não são defensáveis, comparar cenários, sensibilidade e perdas máximas plausíveis. Não inventar percentuais. Restrições de segurança, validade e caixa são filtros prévios; um ganho esperado não as remove. A decisão final deve oferecer alternativa e mostrar quais dados poderiam revertê-la.</w:t>
      </w:r>
    </w:p>
    <w:bookmarkEnd w:id="25"/>
    <w:bookmarkStart w:id="26" w:name="clima-e-interpretação-física"/>
    <w:p>
      <w:pPr>
        <w:pStyle w:val="Heading1"/>
        <w:keepNext/>
        <w:widowControl/>
      </w:pPr>
      <w:r>
        <w:rPr>
          <w:color w:val="000000"/>
        </w:rPr>
        <w:t xml:space="preserve">6 Clima e interpretação física</w:t>
      </w:r>
    </w:p>
    <w:p>
      <w:pPr>
        <w:pStyle w:val="FirstParagraph"/>
        <w:widowControl/>
      </w:pPr>
      <w:r>
        <w:t xml:space="preserve">Reutilizar a função de clima instalada. Antes de consumi-la, o Codex deve confirmar o significado de cada campo no contrato do provedor: precipitação acumulada ou intensidade, previsão ou observação, vento médio ou rajada, horário ou diário, probabilidade ou quantidade. Não inferir um campo ausente a partir de ícones.</w:t>
      </w:r>
    </w:p>
    <w:p>
      <w:pPr>
        <w:pStyle w:val="BodyText"/>
        <w:widowControl/>
      </w:pPr>
      <w:r>
        <w:t xml:space="preserve">A probabilidade de precipitação refere-se a um evento mensurável em local e período definidos. O limiar e a janela dependem do provedor. Não significa porcentagem do dia chovendo nem volume esperado. A interpretação do NWS em [1] é uma referência conceitual; seu limiar não deve ser aplicado automaticamente ao provedor brasileiro.</w:t>
      </w:r>
    </w:p>
    <w:p>
      <w:pPr>
        <w:pStyle w:val="BodyText"/>
        <w:widowControl/>
      </w:pPr>
      <w:r>
        <w:t xml:space="preserve">Probabilidades horárias não devem ser somadas. Sem informação de dependência, para eventos horários</w:t>
      </w:r>
      <w:r>
        <w:t xml:space="preserve"> </w:t>
      </w:r>
      <m:oMath>
        <m:sSub>
          <m:e>
            <m:r>
              <m:t>A</m:t>
            </m:r>
          </m:e>
          <m:sub>
            <m:r>
              <m:t>j</m:t>
            </m:r>
          </m:sub>
        </m:sSub>
      </m:oMath>
      <w:r>
        <w:t xml:space="preserve">:</w:t>
      </w:r>
    </w:p>
    <w:p>
      <w:pPr>
        <w:pStyle w:val="BodyText"/>
        <w:widowControl/>
      </w:pPr>
      <m:oMathPara>
        <m:oMathParaPr>
          <m:jc m:val="center"/>
        </m:oMathParaPr>
        <m:oMath>
          <m:limLow>
            <m:e>
              <m:r>
                <m:rPr>
                  <m:sty m:val="p"/>
                </m:rPr>
                <m:t>max</m:t>
              </m:r>
            </m:e>
            <m:lim>
              <m:r>
                <m:t>j</m:t>
              </m:r>
            </m:lim>
          </m:limLow>
          <m:r>
            <m:t>P</m:t>
          </m:r>
          <m:d>
            <m:dPr>
              <m:begChr m:val="("/>
              <m:endChr m:val=")"/>
              <m:sepChr m:val=""/>
              <m:grow/>
            </m:dPr>
            <m:e>
              <m:sSub>
                <m:e>
                  <m:r>
                    <m:t>A</m:t>
                  </m:r>
                </m:e>
                <m:sub>
                  <m:r>
                    <m:t>j</m:t>
                  </m:r>
                </m:sub>
              </m:sSub>
            </m:e>
          </m:d>
          <m:r>
            <m:rPr>
              <m:sty m:val="p"/>
            </m:rPr>
            <m:t>≤</m:t>
          </m:r>
          <m:r>
            <m:t>P</m:t>
          </m:r>
          <m:d>
            <m:dPr>
              <m:begChr m:val="("/>
              <m:endChr m:val=")"/>
              <m:sepChr m:val=""/>
              <m:grow/>
            </m:dPr>
            <m:e>
              <m:limLow>
                <m:e>
                  <m:r>
                    <m:rPr>
                      <m:sty m:val="p"/>
                    </m:rPr>
                    <m:t>⋃</m:t>
                  </m:r>
                </m:e>
                <m:lim>
                  <m:r>
                    <m:t>j</m:t>
                  </m:r>
                </m:lim>
              </m:limLow>
              <m:sSub>
                <m:e>
                  <m:r>
                    <m:t>A</m:t>
                  </m:r>
                </m:e>
                <m:sub>
                  <m:r>
                    <m:t>j</m:t>
                  </m:r>
                </m:sub>
              </m:sSub>
            </m:e>
          </m:d>
          <m:r>
            <m:rPr>
              <m:sty m:val="p"/>
            </m:rPr>
            <m:t>≤</m:t>
          </m:r>
          <m:r>
            <m:rPr>
              <m:sty m:val="p"/>
            </m:rPr>
            <m:t>min</m:t>
          </m:r>
          <m:d>
            <m:dPr>
              <m:begChr m:val="("/>
              <m:endChr m:val=")"/>
              <m:sepChr m:val=""/>
              <m:grow/>
            </m:dPr>
            <m:e>
              <m:r>
                <m:t>1</m:t>
              </m:r>
              <m:r>
                <m:rPr>
                  <m:sty m:val="p"/>
                </m:rPr>
                <m:t>,</m:t>
              </m:r>
              <m:nary>
                <m:naryPr>
                  <m:chr m:val="∑"/>
                  <m:limLoc m:val="undOvr"/>
                  <m:subHide m:val="off"/>
                  <m:supHide m:val="on"/>
                </m:naryPr>
                <m:sub>
                  <m:r>
                    <m:t>j</m:t>
                  </m:r>
                </m:sub>
                <m:sup>
                  <m:r>
                    <m:t>​</m:t>
                  </m:r>
                </m:sup>
                <m:e>
                  <m:r>
                    <m:t>P</m:t>
                  </m:r>
                </m:e>
              </m:nary>
              <m:d>
                <m:dPr>
                  <m:begChr m:val="("/>
                  <m:endChr m:val=")"/>
                  <m:sepChr m:val=""/>
                  <m:grow/>
                </m:dPr>
                <m:e>
                  <m:sSub>
                    <m:e>
                      <m:r>
                        <m:t>A</m:t>
                      </m:r>
                    </m:e>
                    <m:sub>
                      <m:r>
                        <m:t>j</m:t>
                      </m:r>
                    </m:sub>
                  </m:sSub>
                </m:e>
              </m:d>
            </m:e>
          </m:d>
        </m:oMath>
      </m:oMathPara>
    </w:p>
    <w:p>
      <w:pPr>
        <w:pStyle w:val="FirstParagraph"/>
        <w:widowControl/>
      </w:pPr>
      <w:r>
        <w:t xml:space="preserve">Preferir a chance agregada fornecida pelo serviço. A expressão</w:t>
      </w:r>
      <w:r>
        <w:t xml:space="preserve"> </w:t>
      </w:r>
      <w:r>
        <w:t xml:space="preserve">“</w:t>
      </w:r>
      <w:r>
        <w:t xml:space="preserve">um menos o produto das chances de não chover</w:t>
      </w:r>
      <w:r>
        <w:t xml:space="preserve">”</w:t>
      </w:r>
      <w:r>
        <w:t xml:space="preserve"> </w:t>
      </w:r>
      <w:r>
        <w:t xml:space="preserve">exige independência, frequentemente inadequada em horas consecutivas. A probabilidade de chuva também não fornece sozinha a distribuição de milímetros.</w:t>
      </w:r>
    </w:p>
    <w:p>
      <w:pPr>
        <w:pStyle w:val="BodyText"/>
        <w:widowControl/>
      </w:pPr>
      <w:r>
        <w:t xml:space="preserve">Registrar relevo, altitude e distância de estação ou grade quando disponíveis. Previsão municipal não equivale a medição na propriedade. Não aplicar correção térmica fixa por altitude como se descrevesse inversões, encostas e baixadas em todas as situações.</w:t>
      </w:r>
    </w:p>
    <w:p>
      <w:pPr>
        <w:pStyle w:val="BodyText"/>
        <w:widowControl/>
      </w:pPr>
      <w:r>
        <w:t xml:space="preserve">Definir política configurável de vencimento por variável, horizonte e cadência do serviço. Como proposta inicial, uma decisão para as próximas horas exige atualização mais recente que um resumo semanal; o limite exato deve ser negociado com o contrato real e testado. Mostrar a emissão e a validade. Sem conexão, usar cache identificado como antigo e suspender conselhos dependentes de atualidade.</w:t>
      </w:r>
    </w:p>
    <w:p>
      <w:pPr>
        <w:pStyle w:val="BodyText"/>
        <w:widowControl/>
      </w:pPr>
      <w:r>
        <w:t xml:space="preserve">Alertas oficiais devem manter fonte, área e validade originais e ter prioridade na interface quando aplicáveis. A ausência de um alerta recebido não prova ausência de risco. O aplicativo não deve inventar alerta oficial a partir de um score próprio, nem garantir segurança de travessias, estruturas ou estradas com base apenas na previsão.</w:t>
      </w:r>
    </w:p>
    <w:bookmarkEnd w:id="26"/>
    <w:bookmarkStart w:id="27" w:name="água-na-lavoura-e-limites-agronômicos"/>
    <w:p>
      <w:pPr>
        <w:pStyle w:val="Heading1"/>
        <w:keepNext/>
        <w:widowControl/>
      </w:pPr>
      <w:r>
        <w:rPr>
          <w:color w:val="000000"/>
        </w:rPr>
        <w:t xml:space="preserve">7 Água na lavoura e limites agronômicos</w:t>
      </w:r>
    </w:p>
    <w:p>
      <w:pPr>
        <w:pStyle w:val="FirstParagraph"/>
        <w:widowControl/>
      </w:pPr>
      <w:r>
        <w:t xml:space="preserve">Este módulo é opcional. Exige cultura, estágio, solo, área, sistema de irrigação, eficiência, medições e validação agronômica. Sem esses dados, oferecer orientação para verificar a necessidade hídrica, sem prescrever uma lâmina precisa.</w:t>
      </w:r>
    </w:p>
    <w:p>
      <w:pPr>
        <w:pStyle w:val="BodyText"/>
        <w:widowControl/>
      </w:pPr>
      <w:r>
        <w:t xml:space="preserve">A evapotranspiração de referência diária pode ser estimada pela FAO Penman Monteith [2]:</w:t>
      </w:r>
    </w:p>
    <w:p>
      <w:pPr>
        <w:pStyle w:val="BodyText"/>
        <w:widowControl/>
      </w:pPr>
      <m:oMathPara>
        <m:oMathParaPr>
          <m:jc m:val="center"/>
        </m:oMathParaPr>
        <m:oMath>
          <m:r>
            <m:t>E</m:t>
          </m:r>
          <m:sSub>
            <m:e>
              <m:r>
                <m:t>T</m:t>
              </m:r>
            </m:e>
            <m:sub>
              <m:r>
                <m:t>0</m:t>
              </m:r>
            </m:sub>
          </m:sSub>
          <m:r>
            <m:rPr>
              <m:sty m:val="p"/>
            </m:rPr>
            <m:t>=</m:t>
          </m:r>
          <m:f>
            <m:fPr>
              <m:type m:val="bar"/>
            </m:fPr>
            <m:num>
              <m:r>
                <m:t>0.408</m:t>
              </m:r>
              <m:r>
                <m:t>Δ</m:t>
              </m:r>
              <m:d>
                <m:dPr>
                  <m:begChr m:val="("/>
                  <m:endChr m:val=")"/>
                  <m:sepChr m:val=""/>
                  <m:grow/>
                </m:dPr>
                <m:e>
                  <m:sSub>
                    <m:e>
                      <m:r>
                        <m:t>R</m:t>
                      </m:r>
                    </m:e>
                    <m:sub>
                      <m:r>
                        <m:t>n</m:t>
                      </m:r>
                    </m:sub>
                  </m:sSub>
                  <m:r>
                    <m:rPr>
                      <m:sty m:val="p"/>
                    </m:rPr>
                    <m:t>−</m:t>
                  </m:r>
                  <m:r>
                    <m:t>G</m:t>
                  </m:r>
                </m:e>
              </m:d>
              <m:r>
                <m:rPr>
                  <m:sty m:val="p"/>
                </m:rPr>
                <m:t>+</m:t>
              </m:r>
              <m:r>
                <m:t>γ</m:t>
              </m:r>
              <m:f>
                <m:fPr>
                  <m:type m:val="bar"/>
                </m:fPr>
                <m:num>
                  <m:r>
                    <m:t>900</m:t>
                  </m:r>
                </m:num>
                <m:den>
                  <m:r>
                    <m:t>T</m:t>
                  </m:r>
                  <m:r>
                    <m:rPr>
                      <m:sty m:val="p"/>
                    </m:rPr>
                    <m:t>+</m:t>
                  </m:r>
                  <m:r>
                    <m:t>273</m:t>
                  </m:r>
                </m:den>
              </m:f>
              <m:sSub>
                <m:e>
                  <m:r>
                    <m:t>u</m:t>
                  </m:r>
                </m:e>
                <m:sub>
                  <m:r>
                    <m:t>2</m:t>
                  </m:r>
                </m:sub>
              </m:sSub>
              <m:d>
                <m:dPr>
                  <m:begChr m:val="("/>
                  <m:endChr m:val=")"/>
                  <m:sepChr m:val=""/>
                  <m:grow/>
                </m:dPr>
                <m:e>
                  <m:sSub>
                    <m:e>
                      <m:r>
                        <m:t>e</m:t>
                      </m:r>
                    </m:e>
                    <m:sub>
                      <m:r>
                        <m:t>s</m:t>
                      </m:r>
                    </m:sub>
                  </m:sSub>
                  <m:r>
                    <m:rPr>
                      <m:sty m:val="p"/>
                    </m:rPr>
                    <m:t>−</m:t>
                  </m:r>
                  <m:sSub>
                    <m:e>
                      <m:r>
                        <m:t>e</m:t>
                      </m:r>
                    </m:e>
                    <m:sub>
                      <m:r>
                        <m:t>a</m:t>
                      </m:r>
                    </m:sub>
                  </m:sSub>
                </m:e>
              </m:d>
            </m:num>
            <m:den>
              <m:r>
                <m:t>Δ</m:t>
              </m:r>
              <m:r>
                <m:rPr>
                  <m:sty m:val="p"/>
                </m:rPr>
                <m:t>+</m:t>
              </m:r>
              <m:r>
                <m:t>γ</m:t>
              </m:r>
              <m:d>
                <m:dPr>
                  <m:begChr m:val="("/>
                  <m:endChr m:val=")"/>
                  <m:sepChr m:val=""/>
                  <m:grow/>
                </m:dPr>
                <m:e>
                  <m:r>
                    <m:t>1</m:t>
                  </m:r>
                  <m:r>
                    <m:rPr>
                      <m:sty m:val="p"/>
                    </m:rPr>
                    <m:t>+</m:t>
                  </m:r>
                  <m:r>
                    <m:t>0.34</m:t>
                  </m:r>
                  <m:sSub>
                    <m:e>
                      <m:r>
                        <m:t>u</m:t>
                      </m:r>
                    </m:e>
                    <m:sub>
                      <m:r>
                        <m:t>2</m:t>
                      </m:r>
                    </m:sub>
                  </m:sSub>
                </m:e>
              </m:d>
            </m:den>
          </m:f>
        </m:oMath>
      </m:oMathPara>
    </w:p>
    <w:p>
      <w:pPr>
        <w:pStyle w:val="FirstParagraph"/>
        <w:widowControl/>
      </w:pPr>
      <w:r>
        <w:t xml:space="preserve">Usar</w:t>
      </w:r>
      <w:r>
        <w:t xml:space="preserve"> </w:t>
      </w:r>
      <m:oMath>
        <m:r>
          <m:t>E</m:t>
        </m:r>
        <m:sSub>
          <m:e>
            <m:r>
              <m:t>T</m:t>
            </m:r>
          </m:e>
          <m:sub>
            <m:r>
              <m:t>0</m:t>
            </m:r>
          </m:sub>
        </m:sSub>
      </m:oMath>
      <w:r>
        <w:t xml:space="preserve"> </w:t>
      </w:r>
      <w:r>
        <w:t xml:space="preserve">em mm/dia;</w:t>
      </w:r>
      <w:r>
        <w:t xml:space="preserve"> </w:t>
      </w:r>
      <m:oMath>
        <m:sSub>
          <m:e>
            <m:r>
              <m:t>R</m:t>
            </m:r>
          </m:e>
          <m:sub>
            <m:r>
              <m:t>n</m:t>
            </m:r>
          </m:sub>
        </m:sSub>
      </m:oMath>
      <w:r>
        <w:t xml:space="preserve"> </w:t>
      </w:r>
      <w:r>
        <w:t xml:space="preserve">e</w:t>
      </w:r>
      <w:r>
        <w:t xml:space="preserve"> </w:t>
      </w:r>
      <m:oMath>
        <m:r>
          <m:t>G</m:t>
        </m:r>
      </m:oMath>
      <w:r>
        <w:t xml:space="preserve"> </w:t>
      </w:r>
      <w:r>
        <w:t xml:space="preserve">em MJ por metro quadrado por dia;</w:t>
      </w:r>
      <w:r>
        <w:t xml:space="preserve"> </w:t>
      </w:r>
      <m:oMath>
        <m:r>
          <m:t>T</m:t>
        </m:r>
      </m:oMath>
      <w:r>
        <w:t xml:space="preserve"> </w:t>
      </w:r>
      <w:r>
        <w:t xml:space="preserve">em graus Celsius;</w:t>
      </w:r>
      <w:r>
        <w:t xml:space="preserve"> </w:t>
      </w:r>
      <m:oMath>
        <m:sSub>
          <m:e>
            <m:r>
              <m:t>u</m:t>
            </m:r>
          </m:e>
          <m:sub>
            <m:r>
              <m:t>2</m:t>
            </m:r>
          </m:sub>
        </m:sSub>
      </m:oMath>
      <w:r>
        <w:t xml:space="preserve"> </w:t>
      </w:r>
      <w:r>
        <w:t xml:space="preserve">em m/s a dois metros; pressões de vapor em kPa;</w:t>
      </w:r>
      <w:r>
        <w:t xml:space="preserve"> </w:t>
      </w:r>
      <m:oMath>
        <m:r>
          <m:t>Δ</m:t>
        </m:r>
      </m:oMath>
      <w:r>
        <w:t xml:space="preserve"> </w:t>
      </w:r>
      <w:r>
        <w:t xml:space="preserve">e</w:t>
      </w:r>
      <w:r>
        <w:t xml:space="preserve"> </w:t>
      </w:r>
      <m:oMath>
        <m:r>
          <m:t>γ</m:t>
        </m:r>
      </m:oMath>
      <w:r>
        <w:t xml:space="preserve"> </w:t>
      </w:r>
      <w:r>
        <w:t xml:space="preserve">em kPa por grau Celsius. Seguir as definições e o preparo das entradas da referência; não transplantar a forma diária para dados horários.</w:t>
      </w:r>
    </w:p>
    <w:p>
      <w:pPr>
        <w:pStyle w:val="BodyText"/>
        <w:widowControl/>
      </w:pPr>
      <w:r>
        <w:t xml:space="preserve">Em condições padrão,</w:t>
      </w:r>
      <w:r>
        <w:t xml:space="preserve"> </w:t>
      </w:r>
      <m:oMath>
        <m:r>
          <m:t>E</m:t>
        </m:r>
        <m:sSub>
          <m:e>
            <m:r>
              <m:t>T</m:t>
            </m:r>
          </m:e>
          <m:sub>
            <m:r>
              <m:t>c</m:t>
            </m:r>
          </m:sub>
        </m:sSub>
        <m:r>
          <m:rPr>
            <m:sty m:val="p"/>
          </m:rPr>
          <m:t>=</m:t>
        </m:r>
        <m:sSub>
          <m:e>
            <m:r>
              <m:t>K</m:t>
            </m:r>
          </m:e>
          <m:sub>
            <m:r>
              <m:t>c</m:t>
            </m:r>
          </m:sub>
        </m:sSub>
        <m:r>
          <m:t>E</m:t>
        </m:r>
        <m:sSub>
          <m:e>
            <m:r>
              <m:t>T</m:t>
            </m:r>
          </m:e>
          <m:sub>
            <m:r>
              <m:t>0</m:t>
            </m:r>
          </m:sub>
        </m:sSub>
      </m:oMath>
      <w:r>
        <w:t xml:space="preserve">. O coeficiente depende da cultura e do estágio; estresse hídrico e condições não padrão exigem tratamento específico. Não fixar um coeficiente universal. Temperatura e chance de chuva, isoladamente, não bastam para aplicar o método.</w:t>
      </w:r>
    </w:p>
    <w:p>
      <w:pPr>
        <w:pStyle w:val="BodyText"/>
        <w:widowControl/>
      </w:pPr>
      <w:r>
        <w:t xml:space="preserve">Como balanço simplificado da água na zona radicular:</w:t>
      </w:r>
    </w:p>
    <w:p>
      <w:pPr>
        <w:pStyle w:val="BodyText"/>
        <w:widowControl/>
      </w:pPr>
      <m:oMathPara>
        <m:oMathParaPr>
          <m:jc m:val="center"/>
        </m:oMathParaPr>
        <m:oMath>
          <m:sSub>
            <m:e>
              <m:r>
                <m:t>S</m:t>
              </m:r>
            </m:e>
            <m:sub>
              <m:r>
                <m:t>t</m:t>
              </m:r>
              <m:r>
                <m:rPr>
                  <m:sty m:val="p"/>
                </m:rPr>
                <m:t>+</m:t>
              </m:r>
              <m:r>
                <m:t>1</m:t>
              </m:r>
            </m:sub>
          </m:sSub>
          <m:r>
            <m:rPr>
              <m:sty m:val="p"/>
            </m:rPr>
            <m:t>=</m:t>
          </m:r>
          <m:sSub>
            <m:e>
              <m:r>
                <m:t>S</m:t>
              </m:r>
            </m:e>
            <m:sub>
              <m:r>
                <m:t>t</m:t>
              </m:r>
            </m:sub>
          </m:sSub>
          <m:r>
            <m:rPr>
              <m:sty m:val="p"/>
            </m:rPr>
            <m:t>+</m:t>
          </m:r>
          <m:sSub>
            <m:e>
              <m:r>
                <m:t>P</m:t>
              </m:r>
            </m:e>
            <m:sub>
              <m:r>
                <m:t>e</m:t>
              </m:r>
              <m:r>
                <m:t>f</m:t>
              </m:r>
              <m:r>
                <m:rPr>
                  <m:sty m:val="p"/>
                </m:rPr>
                <m:t>,</m:t>
              </m:r>
              <m:r>
                <m:t>t</m:t>
              </m:r>
            </m:sub>
          </m:sSub>
          <m:r>
            <m:rPr>
              <m:sty m:val="p"/>
            </m:rPr>
            <m:t>+</m:t>
          </m:r>
          <m:sSub>
            <m:e>
              <m:r>
                <m:t>I</m:t>
              </m:r>
            </m:e>
            <m:sub>
              <m:r>
                <m:t>n</m:t>
              </m:r>
              <m:r>
                <m:t>e</m:t>
              </m:r>
              <m:r>
                <m:t>t</m:t>
              </m:r>
              <m:r>
                <m:rPr>
                  <m:sty m:val="p"/>
                </m:rPr>
                <m:t>,</m:t>
              </m:r>
              <m:r>
                <m:t>t</m:t>
              </m:r>
            </m:sub>
          </m:sSub>
          <m:r>
            <m:rPr>
              <m:sty m:val="p"/>
            </m:rPr>
            <m:t>+</m:t>
          </m:r>
          <m:r>
            <m:t>C</m:t>
          </m:r>
          <m:sSub>
            <m:e>
              <m:r>
                <m:t>R</m:t>
              </m:r>
            </m:e>
            <m:sub>
              <m:r>
                <m:t>t</m:t>
              </m:r>
            </m:sub>
          </m:sSub>
          <m:r>
            <m:rPr>
              <m:sty m:val="p"/>
            </m:rPr>
            <m:t>−</m:t>
          </m:r>
          <m:r>
            <m:t>E</m:t>
          </m:r>
          <m:sSub>
            <m:e>
              <m:r>
                <m:t>T</m:t>
              </m:r>
            </m:e>
            <m:sub>
              <m:r>
                <m:t>a</m:t>
              </m:r>
              <m:r>
                <m:rPr>
                  <m:sty m:val="p"/>
                </m:rPr>
                <m:t>,</m:t>
              </m:r>
              <m:r>
                <m:t>t</m:t>
              </m:r>
            </m:sub>
          </m:sSub>
          <m:r>
            <m:rPr>
              <m:sty m:val="p"/>
            </m:rPr>
            <m:t>−</m:t>
          </m:r>
          <m:r>
            <m:t>D</m:t>
          </m:r>
          <m:sSub>
            <m:e>
              <m:r>
                <m:t>P</m:t>
              </m:r>
            </m:e>
            <m:sub>
              <m:r>
                <m:t>t</m:t>
              </m:r>
            </m:sub>
          </m:sSub>
        </m:oMath>
      </m:oMathPara>
    </w:p>
    <w:p>
      <w:pPr>
        <w:pStyle w:val="FirstParagraph"/>
        <w:widowControl/>
      </w:pPr>
      <m:oMath>
        <m:r>
          <m:t>S</m:t>
        </m:r>
      </m:oMath>
      <w:r>
        <w:t xml:space="preserve"> </w:t>
      </w:r>
      <w:r>
        <w:t xml:space="preserve">é armazenamento em mm;</w:t>
      </w:r>
      <w:r>
        <w:t xml:space="preserve"> </w:t>
      </w:r>
      <m:oMath>
        <m:sSub>
          <m:e>
            <m:r>
              <m:t>P</m:t>
            </m:r>
          </m:e>
          <m:sub>
            <m:r>
              <m:t>e</m:t>
            </m:r>
            <m:r>
              <m:t>f</m:t>
            </m:r>
          </m:sub>
        </m:sSub>
      </m:oMath>
      <w:r>
        <w:t xml:space="preserve"> </w:t>
      </w:r>
      <w:r>
        <w:t xml:space="preserve">é chuva que efetivamente entra no sistema após perdas superficiais;</w:t>
      </w:r>
      <w:r>
        <w:t xml:space="preserve"> </w:t>
      </w:r>
      <m:oMath>
        <m:sSub>
          <m:e>
            <m:r>
              <m:t>I</m:t>
            </m:r>
          </m:e>
          <m:sub>
            <m:r>
              <m:t>n</m:t>
            </m:r>
            <m:r>
              <m:t>e</m:t>
            </m:r>
            <m:r>
              <m:t>t</m:t>
            </m:r>
          </m:sub>
        </m:sSub>
      </m:oMath>
      <w:r>
        <w:t xml:space="preserve"> </w:t>
      </w:r>
      <w:r>
        <w:t xml:space="preserve">é irrigação líquida;</w:t>
      </w:r>
      <w:r>
        <w:t xml:space="preserve"> </w:t>
      </w:r>
      <m:oMath>
        <m:r>
          <m:t>C</m:t>
        </m:r>
        <m:r>
          <m:t>R</m:t>
        </m:r>
      </m:oMath>
      <w:r>
        <w:t xml:space="preserve"> </w:t>
      </w:r>
      <w:r>
        <w:t xml:space="preserve">é ascensão capilar;</w:t>
      </w:r>
      <w:r>
        <w:t xml:space="preserve"> </w:t>
      </w:r>
      <m:oMath>
        <m:r>
          <m:t>E</m:t>
        </m:r>
        <m:sSub>
          <m:e>
            <m:r>
              <m:t>T</m:t>
            </m:r>
          </m:e>
          <m:sub>
            <m:r>
              <m:t>a</m:t>
            </m:r>
          </m:sub>
        </m:sSub>
      </m:oMath>
      <w:r>
        <w:t xml:space="preserve"> </w:t>
      </w:r>
      <w:r>
        <w:t xml:space="preserve">é evapotranspiração real;</w:t>
      </w:r>
      <w:r>
        <w:t xml:space="preserve"> </w:t>
      </w:r>
      <m:oMath>
        <m:r>
          <m:t>D</m:t>
        </m:r>
        <m:r>
          <m:t>P</m:t>
        </m:r>
      </m:oMath>
      <w:r>
        <w:t xml:space="preserve"> </w:t>
      </w:r>
      <w:r>
        <w:t xml:space="preserve">é drenagem profunda. Adotar fronteiras coerentes e não descontar escoamento duas vezes. Excedentes e déficits devem ser tratados fisicamente, não apenas escondidos por truncamento.</w:t>
      </w:r>
    </w:p>
    <w:p>
      <w:pPr>
        <w:pStyle w:val="BodyText"/>
        <w:widowControl/>
      </w:pPr>
      <w:r>
        <w:t xml:space="preserve">Para converter lâmina líquida em volume bruto:</w:t>
      </w:r>
    </w:p>
    <w:p>
      <w:pPr>
        <w:pStyle w:val="BodyText"/>
        <w:widowControl/>
      </w:pPr>
      <m:oMathPara>
        <m:oMathParaPr>
          <m:jc m:val="center"/>
        </m:oMathParaPr>
        <m:oMath>
          <m:sSub>
            <m:e>
              <m:r>
                <m:t>V</m:t>
              </m:r>
            </m:e>
            <m:sub>
              <m:r>
                <m:t>b</m:t>
              </m:r>
              <m:r>
                <m:t>r</m:t>
              </m:r>
              <m:r>
                <m:t>u</m:t>
              </m:r>
              <m:r>
                <m:t>t</m:t>
              </m:r>
              <m:r>
                <m:t>o</m:t>
              </m:r>
            </m:sub>
          </m:sSub>
          <m:r>
            <m:t> </m:t>
          </m:r>
          <m:d>
            <m:dPr>
              <m:begChr m:val="["/>
              <m:endChr m:val="]"/>
              <m:sepChr m:val=""/>
              <m:grow/>
            </m:dPr>
            <m:e>
              <m:sSup>
                <m:e>
                  <m:r>
                    <m:t>m</m:t>
                  </m:r>
                </m:e>
                <m:sup>
                  <m:r>
                    <m:t>3</m:t>
                  </m:r>
                </m:sup>
              </m:sSup>
            </m:e>
          </m:d>
          <m:r>
            <m:rPr>
              <m:sty m:val="p"/>
            </m:rPr>
            <m:t>=</m:t>
          </m:r>
          <m:f>
            <m:fPr>
              <m:type m:val="bar"/>
            </m:fPr>
            <m:num>
              <m:r>
                <m:t>10</m:t>
              </m:r>
              <m:r>
                <m:t> </m:t>
              </m:r>
              <m:r>
                <m:t>A</m:t>
              </m:r>
              <m:r>
                <m:t> </m:t>
              </m:r>
              <m:d>
                <m:dPr>
                  <m:begChr m:val="["/>
                  <m:endChr m:val="]"/>
                  <m:sepChr m:val=""/>
                  <m:grow/>
                </m:dPr>
                <m:e>
                  <m:r>
                    <m:t>h</m:t>
                  </m:r>
                  <m:r>
                    <m:t>a</m:t>
                  </m:r>
                </m:e>
              </m:d>
              <m:r>
                <m:t> </m:t>
              </m:r>
              <m:sSub>
                <m:e>
                  <m:r>
                    <m:t>I</m:t>
                  </m:r>
                </m:e>
                <m:sub>
                  <m:r>
                    <m:t>n</m:t>
                  </m:r>
                  <m:r>
                    <m:t>e</m:t>
                  </m:r>
                  <m:r>
                    <m:t>t</m:t>
                  </m:r>
                </m:sub>
              </m:sSub>
              <m:r>
                <m:t> </m:t>
              </m:r>
              <m:d>
                <m:dPr>
                  <m:begChr m:val="["/>
                  <m:endChr m:val="]"/>
                  <m:sepChr m:val=""/>
                  <m:grow/>
                </m:dPr>
                <m:e>
                  <m:r>
                    <m:t>m</m:t>
                  </m:r>
                  <m:r>
                    <m:t>m</m:t>
                  </m:r>
                </m:e>
              </m:d>
            </m:num>
            <m:den>
              <m:r>
                <m:t>η</m:t>
              </m:r>
            </m:den>
          </m:f>
        </m:oMath>
      </m:oMathPara>
    </w:p>
    <w:p>
      <w:pPr>
        <w:pStyle w:val="FirstParagraph"/>
        <w:widowControl/>
      </w:pPr>
      <m:oMath>
        <m:r>
          <m:t>η</m:t>
        </m:r>
      </m:oMath>
      <w:r>
        <w:t xml:space="preserve"> </w:t>
      </w:r>
      <w:r>
        <w:t xml:space="preserve">é eficiência entre zero e um. Exemplo fictício: 5 mm líquidos em 1 ha, com eficiência de 0,8, correspondem a 62,5 m³ brutos. A conversão não determina se irrigar é adequado. Não deduzir prazo sanitário, dose de defensivo, risco microbiológico ou qualidade de café apenas de temperatura e umidade previstas.</w:t>
      </w:r>
    </w:p>
    <w:bookmarkEnd w:id="27"/>
    <w:bookmarkStart w:id="28" w:name="vendas-e-demanda-sob-incerteza"/>
    <w:p>
      <w:pPr>
        <w:pStyle w:val="Heading1"/>
        <w:keepNext/>
        <w:widowControl/>
      </w:pPr>
      <w:r>
        <w:rPr>
          <w:color w:val="000000"/>
        </w:rPr>
        <w:t xml:space="preserve">8 Vendas e demanda sob incerteza</w:t>
      </w:r>
    </w:p>
    <w:p>
      <w:pPr>
        <w:pStyle w:val="FirstParagraph"/>
        <w:widowControl/>
      </w:pPr>
      <w:r>
        <w:t xml:space="preserve">A demanda desejada é diferente da venda observada. Com estoque inicial disponível</w:t>
      </w:r>
      <w:r>
        <w:t xml:space="preserve"> </w:t>
      </w:r>
      <m:oMath>
        <m:r>
          <m:t>Q</m:t>
        </m:r>
      </m:oMath>
      <w:r>
        <w:t xml:space="preserve"> </w:t>
      </w:r>
      <w:r>
        <w:t xml:space="preserve">e demanda</w:t>
      </w:r>
      <w:r>
        <w:t xml:space="preserve"> </w:t>
      </w:r>
      <m:oMath>
        <m:r>
          <m:t>D</m:t>
        </m:r>
      </m:oMath>
      <w:r>
        <w:t xml:space="preserve">, em uma representação simplificada sem reposição:</w:t>
      </w:r>
    </w:p>
    <w:p>
      <w:pPr>
        <w:pStyle w:val="BodyText"/>
        <w:widowControl/>
      </w:pPr>
      <m:oMathPara>
        <m:oMathParaPr>
          <m:jc m:val="center"/>
        </m:oMathParaPr>
        <m:oMath>
          <m:r>
            <m:t>Y</m:t>
          </m:r>
          <m:r>
            <m:rPr>
              <m:sty m:val="p"/>
            </m:rPr>
            <m:t>=</m:t>
          </m:r>
          <m:r>
            <m:rPr>
              <m:sty m:val="p"/>
            </m:rPr>
            <m:t>min</m:t>
          </m:r>
          <m:d>
            <m:dPr>
              <m:begChr m:val="("/>
              <m:endChr m:val=")"/>
              <m:sepChr m:val=""/>
              <m:grow/>
            </m:dPr>
            <m:e>
              <m:r>
                <m:t>D</m:t>
              </m:r>
              <m:r>
                <m:rPr>
                  <m:sty m:val="p"/>
                </m:rPr>
                <m:t>,</m:t>
              </m:r>
              <m:r>
                <m:t>Q</m:t>
              </m:r>
            </m:e>
          </m:d>
        </m:oMath>
      </m:oMathPara>
    </w:p>
    <w:p>
      <w:pPr>
        <w:pStyle w:val="FirstParagraph"/>
        <w:widowControl/>
      </w:pPr>
      <m:oMath>
        <m:r>
          <m:t>Y</m:t>
        </m:r>
      </m:oMath>
      <w:r>
        <w:t xml:space="preserve"> </w:t>
      </w:r>
      <w:r>
        <w:t xml:space="preserve">é a quantidade vendida. Rupturas censuram a demanda: vender todo o estoque não revela quanto mais seria vendido. Registrar hora de ruptura, tempo aberto e reposição. Não treinar o modelo tratando esses registros como demanda integralmente observada.</w:t>
      </w:r>
    </w:p>
    <w:p>
      <w:pPr>
        <w:pStyle w:val="BodyText"/>
        <w:widowControl/>
      </w:pPr>
      <w:r>
        <w:t xml:space="preserve">Começar por uma referência simples: mediana ou média de dias comparáveis por produto, canal e duração de operação. Comparar uma referência sazonal quando houver ciclos suficientes. Fins de semana, feiras e vendas individuais podem ter padrões diferentes; não somar populações incompatíveis para aparentar maior amostra.</w:t>
      </w:r>
    </w:p>
    <w:p>
      <w:pPr>
        <w:pStyle w:val="BodyText"/>
        <w:widowControl/>
      </w:pPr>
      <w:r>
        <w:t xml:space="preserve">Para contagens inteiras, uma opção inicial é</w:t>
      </w:r>
      <w:r>
        <w:t xml:space="preserve"> </w:t>
      </w:r>
      <m:oMath>
        <m:sSub>
          <m:e>
            <m:r>
              <m:t>D</m:t>
            </m:r>
          </m:e>
          <m:sub>
            <m:r>
              <m:t>t</m:t>
            </m:r>
          </m:sub>
        </m:sSub>
        <m:r>
          <m:rPr>
            <m:sty m:val="p"/>
          </m:rPr>
          <m:t>∼</m:t>
        </m:r>
        <m:r>
          <m:t>P</m:t>
        </m:r>
        <m:r>
          <m:t>o</m:t>
        </m:r>
        <m:r>
          <m:t>i</m:t>
        </m:r>
        <m:r>
          <m:t>s</m:t>
        </m:r>
        <m:r>
          <m:t>s</m:t>
        </m:r>
        <m:r>
          <m:t>o</m:t>
        </m:r>
        <m:r>
          <m:t>n</m:t>
        </m:r>
        <m:d>
          <m:dPr>
            <m:begChr m:val="("/>
            <m:endChr m:val=")"/>
            <m:sepChr m:val=""/>
            <m:grow/>
          </m:dPr>
          <m:e>
            <m:sSub>
              <m:e>
                <m:r>
                  <m:t>μ</m:t>
                </m:r>
              </m:e>
              <m:sub>
                <m:r>
                  <m:t>t</m:t>
                </m:r>
              </m:sub>
            </m:sSub>
          </m:e>
        </m:d>
      </m:oMath>
      <w:r>
        <w:t xml:space="preserve">. Se a dispersão exceder a compatível com Poisson, avaliar binomial negativa NB2, com variância</w:t>
      </w:r>
      <w:r>
        <w:t xml:space="preserve"> </w:t>
      </w:r>
      <m:oMath>
        <m:sSub>
          <m:e>
            <m:r>
              <m:t>μ</m:t>
            </m:r>
          </m:e>
          <m:sub>
            <m:r>
              <m:t>t</m:t>
            </m:r>
          </m:sub>
        </m:sSub>
        <m:r>
          <m:rPr>
            <m:sty m:val="p"/>
          </m:rPr>
          <m:t>+</m:t>
        </m:r>
        <m:r>
          <m:t>α</m:t>
        </m:r>
        <m:sSubSup>
          <m:e>
            <m:r>
              <m:t>μ</m:t>
            </m:r>
          </m:e>
          <m:sub>
            <m:r>
              <m:t>t</m:t>
            </m:r>
          </m:sub>
          <m:sup>
            <m:r>
              <m:t>2</m:t>
            </m:r>
          </m:sup>
        </m:sSubSup>
      </m:oMath>
      <w:r>
        <w:t xml:space="preserve">,</w:t>
      </w:r>
      <w:r>
        <w:t xml:space="preserve"> </w:t>
      </w:r>
      <m:oMath>
        <m:r>
          <m:t>α</m:t>
        </m:r>
        <m:r>
          <m:rPr>
            <m:sty m:val="p"/>
          </m:rPr>
          <m:t>&gt;</m:t>
        </m:r>
        <m:r>
          <m:t>0</m:t>
        </m:r>
      </m:oMath>
      <w:r>
        <w:t xml:space="preserve"> </w:t>
      </w:r>
      <w:r>
        <w:t xml:space="preserve">[3]. Quilogramas fracionários e receita não são contagens Poisson. Demanda intermitente pode exigir modelos de ocorrência e tamanho separados, se isso melhorar a validação.</w:t>
      </w:r>
    </w:p>
    <w:p>
      <w:pPr>
        <w:pStyle w:val="BodyText"/>
        <w:widowControl/>
      </w:pPr>
      <w:r>
        <w:t xml:space="preserve">Uma estrutura candidata, a ajustar com regularização e dados suficientes, é:</w:t>
      </w:r>
    </w:p>
    <w:p>
      <w:pPr>
        <w:pStyle w:val="BodyText"/>
        <w:widowControl/>
      </w:pPr>
      <m:oMathPara>
        <m:oMathParaPr>
          <m:jc m:val="center"/>
        </m:oMathParaPr>
        <m:oMath>
          <m:r>
            <m:rPr>
              <m:sty m:val="p"/>
            </m:rPr>
            <m:t>log</m:t>
          </m:r>
          <m:sSub>
            <m:e>
              <m:r>
                <m:t>μ</m:t>
              </m:r>
            </m:e>
            <m:sub>
              <m:r>
                <m:t>t</m:t>
              </m:r>
            </m:sub>
          </m:sSub>
          <m:r>
            <m:rPr>
              <m:sty m:val="p"/>
            </m:rPr>
            <m:t>=</m:t>
          </m:r>
          <m:sSub>
            <m:e>
              <m:r>
                <m:t>β</m:t>
              </m:r>
            </m:e>
            <m:sub>
              <m:r>
                <m:t>0</m:t>
              </m:r>
            </m:sub>
          </m:sSub>
          <m:r>
            <m:rPr>
              <m:sty m:val="p"/>
            </m:rPr>
            <m:t>+</m:t>
          </m:r>
          <m:sSup>
            <m:e>
              <m:r>
                <m:t>β</m:t>
              </m:r>
            </m:e>
            <m:sup>
              <m:r>
                <m:rPr>
                  <m:sty m:val="p"/>
                  <m:scr m:val="sans-serif"/>
                </m:rPr>
                <m:t>T</m:t>
              </m:r>
            </m:sup>
          </m:sSup>
          <m:sSub>
            <m:e>
              <m:r>
                <m:t>x</m:t>
              </m:r>
            </m:e>
            <m:sub>
              <m:r>
                <m:t>t</m:t>
              </m:r>
            </m:sub>
          </m:sSub>
          <m:r>
            <m:rPr>
              <m:sty m:val="p"/>
            </m:rPr>
            <m:t>+</m:t>
          </m:r>
          <m:r>
            <m:rPr>
              <m:sty m:val="p"/>
            </m:rPr>
            <m:t>log</m:t>
          </m:r>
          <m:sSub>
            <m:e>
              <m:r>
                <m:t>h</m:t>
              </m:r>
            </m:e>
            <m:sub>
              <m:r>
                <m:t>t</m:t>
              </m:r>
            </m:sub>
          </m:sSub>
        </m:oMath>
      </m:oMathPara>
    </w:p>
    <w:p>
      <w:pPr>
        <w:pStyle w:val="FirstParagraph"/>
        <w:widowControl/>
      </w:pPr>
      <m:oMath>
        <m:sSub>
          <m:e>
            <m:r>
              <m:t>h</m:t>
            </m:r>
          </m:e>
          <m:sub>
            <m:r>
              <m:t>t</m:t>
            </m:r>
          </m:sub>
        </m:sSub>
        <m:r>
          <m:rPr>
            <m:sty m:val="p"/>
          </m:rPr>
          <m:t>&gt;</m:t>
        </m:r>
        <m:r>
          <m:t>0</m:t>
        </m:r>
      </m:oMath>
      <w:r>
        <w:t xml:space="preserve"> </w:t>
      </w:r>
      <w:r>
        <w:t xml:space="preserve">é exposição em horas sob hipótese de escala proporcional;</w:t>
      </w:r>
      <w:r>
        <w:t xml:space="preserve"> </w:t>
      </w:r>
      <m:oMath>
        <m:sSub>
          <m:e>
            <m:r>
              <m:t>x</m:t>
            </m:r>
          </m:e>
          <m:sub>
            <m:r>
              <m:t>t</m:t>
            </m:r>
          </m:sub>
        </m:sSub>
      </m:oMath>
      <w:r>
        <w:t xml:space="preserve"> </w:t>
      </w:r>
      <w:r>
        <w:t xml:space="preserve">pode conter dia, canal, preço, evento e variáveis meteorológicas. Não incluir uma exposição artificial para dias fechados. O modelo deve estimar os coeficientes; este documento não fornece queda percentual universal por chuva.</w:t>
      </w:r>
    </w:p>
    <w:p>
      <w:pPr>
        <w:pStyle w:val="BodyText"/>
        <w:widowControl/>
      </w:pPr>
      <w:r>
        <w:t xml:space="preserve">Separar o clima observado após o evento do clima previsto que estava disponível na hora da decisão. Usar apenas informações historicamente disponíveis no treino retrospectivo. Sem arquivo de previsões passadas, explicitar que a avaliação com clima observado não reproduz o uso real.</w:t>
      </w:r>
    </w:p>
    <w:p>
      <w:pPr>
        <w:pStyle w:val="BodyText"/>
        <w:widowControl/>
      </w:pPr>
      <w:r>
        <w:t xml:space="preserve">Com pouco histórico, apresentar referência descritiva ou cenário ajustável. Não usar um número fixo de registros como certificado de confiabilidade. Conferir cobertura de canais, eventos e estações. Modelos por família podem compartilhar informação, preservando variantes e sem transferir dados entre produtores sem autorização e governança.</w:t>
      </w:r>
    </w:p>
    <w:bookmarkEnd w:id="28"/>
    <w:bookmarkStart w:id="29" w:name="estoque-compras-e-perecibilidade"/>
    <w:p>
      <w:pPr>
        <w:pStyle w:val="Heading1"/>
        <w:keepNext/>
        <w:widowControl/>
      </w:pPr>
      <w:r>
        <w:rPr>
          <w:color w:val="000000"/>
        </w:rPr>
        <w:t xml:space="preserve">9 Estoque compras e perecibilidade</w:t>
      </w:r>
    </w:p>
    <w:p>
      <w:pPr>
        <w:pStyle w:val="FirstParagraph"/>
        <w:widowControl/>
      </w:pPr>
      <w:r>
        <w:t xml:space="preserve">O saldo físico, o reservado e o vendável devem ter definições exclusivas. Se reservas e bloqueios não se sobrepõem:</w:t>
      </w:r>
    </w:p>
    <w:p>
      <w:pPr>
        <w:pStyle w:val="BodyText"/>
        <w:widowControl/>
      </w:pPr>
      <m:oMathPara>
        <m:oMathParaPr>
          <m:jc m:val="center"/>
        </m:oMathParaPr>
        <m:oMath>
          <m:sSub>
            <m:e>
              <m:r>
                <m:t>E</m:t>
              </m:r>
            </m:e>
            <m:sub>
              <m:r>
                <m:t>v</m:t>
              </m:r>
              <m:r>
                <m:t>e</m:t>
              </m:r>
              <m:r>
                <m:t>n</m:t>
              </m:r>
              <m:r>
                <m:t>d</m:t>
              </m:r>
              <m:r>
                <m:t>a</m:t>
              </m:r>
              <m:r>
                <m:t>v</m:t>
              </m:r>
              <m:r>
                <m:t>e</m:t>
              </m:r>
              <m:r>
                <m:t>l</m:t>
              </m:r>
            </m:sub>
          </m:sSub>
          <m:r>
            <m:rPr>
              <m:sty m:val="p"/>
            </m:rPr>
            <m:t>=</m:t>
          </m:r>
          <m:r>
            <m:rPr>
              <m:sty m:val="p"/>
            </m:rPr>
            <m:t>max</m:t>
          </m:r>
          <m:d>
            <m:dPr>
              <m:begChr m:val="("/>
              <m:endChr m:val=")"/>
              <m:sepChr m:val=""/>
              <m:grow/>
            </m:dPr>
            <m:e>
              <m:r>
                <m:t>0</m:t>
              </m:r>
              <m:r>
                <m:rPr>
                  <m:sty m:val="p"/>
                </m:rPr>
                <m:t>,</m:t>
              </m:r>
              <m:sSub>
                <m:e>
                  <m:r>
                    <m:t>E</m:t>
                  </m:r>
                </m:e>
                <m:sub>
                  <m:r>
                    <m:t>f</m:t>
                  </m:r>
                  <m:r>
                    <m:t>i</m:t>
                  </m:r>
                  <m:r>
                    <m:t>s</m:t>
                  </m:r>
                  <m:r>
                    <m:t>i</m:t>
                  </m:r>
                  <m:r>
                    <m:t>c</m:t>
                  </m:r>
                  <m:r>
                    <m:t>o</m:t>
                  </m:r>
                </m:sub>
              </m:sSub>
              <m:r>
                <m:rPr>
                  <m:sty m:val="p"/>
                </m:rPr>
                <m:t>−</m:t>
              </m:r>
              <m:sSub>
                <m:e>
                  <m:r>
                    <m:t>E</m:t>
                  </m:r>
                </m:e>
                <m:sub>
                  <m:r>
                    <m:t>r</m:t>
                  </m:r>
                  <m:r>
                    <m:t>e</m:t>
                  </m:r>
                  <m:r>
                    <m:t>s</m:t>
                  </m:r>
                  <m:r>
                    <m:t>e</m:t>
                  </m:r>
                  <m:r>
                    <m:t>r</m:t>
                  </m:r>
                  <m:r>
                    <m:t>v</m:t>
                  </m:r>
                  <m:r>
                    <m:t>a</m:t>
                  </m:r>
                  <m:r>
                    <m:t>d</m:t>
                  </m:r>
                  <m:r>
                    <m:t>o</m:t>
                  </m:r>
                </m:sub>
              </m:sSub>
              <m:r>
                <m:rPr>
                  <m:sty m:val="p"/>
                </m:rPr>
                <m:t>−</m:t>
              </m:r>
              <m:sSub>
                <m:e>
                  <m:r>
                    <m:t>E</m:t>
                  </m:r>
                </m:e>
                <m:sub>
                  <m:r>
                    <m:t>b</m:t>
                  </m:r>
                  <m:r>
                    <m:t>l</m:t>
                  </m:r>
                  <m:r>
                    <m:t>o</m:t>
                  </m:r>
                  <m:r>
                    <m:t>q</m:t>
                  </m:r>
                  <m:r>
                    <m:t>u</m:t>
                  </m:r>
                  <m:r>
                    <m:t>e</m:t>
                  </m:r>
                  <m:r>
                    <m:t>a</m:t>
                  </m:r>
                  <m:r>
                    <m:t>d</m:t>
                  </m:r>
                  <m:r>
                    <m:t>o</m:t>
                  </m:r>
                </m:sub>
              </m:sSub>
            </m:e>
          </m:d>
        </m:oMath>
      </m:oMathPara>
    </w:p>
    <w:p>
      <w:pPr>
        <w:pStyle w:val="FirstParagraph"/>
        <w:widowControl/>
      </w:pPr>
      <w:r>
        <w:t xml:space="preserve">Saldo negativo antes do máximo deve gerar diagnóstico de inconsistência. Se o ERP já define</w:t>
      </w:r>
      <w:r>
        <w:t xml:space="preserve"> </w:t>
      </w:r>
      <w:r>
        <w:t xml:space="preserve">“</w:t>
      </w:r>
      <w:r>
        <w:t xml:space="preserve">disponível</w:t>
      </w:r>
      <w:r>
        <w:t xml:space="preserve">”</w:t>
      </w:r>
      <w:r>
        <w:t xml:space="preserve"> </w:t>
      </w:r>
      <w:r>
        <w:t xml:space="preserve">líquido de reservas, não descontá-las novamente. A inteligência não pode corrigir saldo escrevendo diretamente no banco.</w:t>
      </w:r>
    </w:p>
    <w:p>
      <w:pPr>
        <w:pStyle w:val="BodyText"/>
        <w:widowControl/>
      </w:pPr>
      <w:r>
        <w:t xml:space="preserve">A posição de estoque agrega disponível vendável e entradas confirmadas úteis ao horizonte. Compromissos já descontados não podem ser subtraídos de novo. Para reposição contínua, definir o ponto de pedido como um quantil da demanda durante o prazo aleatório</w:t>
      </w:r>
      <w:r>
        <w:t xml:space="preserve"> </w:t>
      </w:r>
      <m:oMath>
        <m:r>
          <m:t>L</m:t>
        </m:r>
      </m:oMath>
      <w:r>
        <w:t xml:space="preserve">:</w:t>
      </w:r>
    </w:p>
    <w:p>
      <w:pPr>
        <w:pStyle w:val="BodyText"/>
        <w:widowControl/>
      </w:pPr>
      <m:oMathPara>
        <m:oMathParaPr>
          <m:jc m:val="center"/>
        </m:oMathParaPr>
        <m:oMath>
          <m:r>
            <m:t>r</m:t>
          </m:r>
          <m:r>
            <m:rPr>
              <m:sty m:val="p"/>
            </m:rPr>
            <m:t>=</m:t>
          </m:r>
          <m:sSubSup>
            <m:e>
              <m:r>
                <m:t>F</m:t>
              </m:r>
            </m:e>
            <m:sub>
              <m:sSub>
                <m:e>
                  <m:r>
                    <m:t>D</m:t>
                  </m:r>
                </m:e>
                <m:sub>
                  <m:r>
                    <m:t>L</m:t>
                  </m:r>
                </m:sub>
              </m:sSub>
            </m:sub>
            <m:sup>
              <m:r>
                <m:rPr>
                  <m:sty m:val="p"/>
                </m:rPr>
                <m:t>−</m:t>
              </m:r>
              <m:r>
                <m:t>1</m:t>
              </m:r>
            </m:sup>
          </m:sSubSup>
          <m:d>
            <m:dPr>
              <m:begChr m:val="("/>
              <m:endChr m:val=")"/>
              <m:sepChr m:val=""/>
              <m:grow/>
            </m:dPr>
            <m:e>
              <m:r>
                <m:t>α</m:t>
              </m:r>
            </m:e>
          </m:d>
        </m:oMath>
      </m:oMathPara>
    </w:p>
    <w:p>
      <w:pPr>
        <w:pStyle w:val="FirstParagraph"/>
        <w:widowControl/>
      </w:pPr>
      <m:oMath>
        <m:r>
          <m:t>α</m:t>
        </m:r>
      </m:oMath>
      <w:r>
        <w:t xml:space="preserve"> </w:t>
      </w:r>
      <w:r>
        <w:t xml:space="preserve">é nível de serviço por ciclo, não taxa de atendimento em unidades. O estoque de segurança é</w:t>
      </w:r>
      <w:r>
        <w:t xml:space="preserve"> </w:t>
      </w:r>
      <m:oMath>
        <m:r>
          <m:t>r</m:t>
        </m:r>
        <m:r>
          <m:rPr>
            <m:sty m:val="p"/>
          </m:rPr>
          <m:t>−</m:t>
        </m:r>
        <m:r>
          <m:t>E</m:t>
        </m:r>
        <m:d>
          <m:dPr>
            <m:begChr m:val="["/>
            <m:endChr m:val="]"/>
            <m:sepChr m:val=""/>
            <m:grow/>
          </m:dPr>
          <m:e>
            <m:sSub>
              <m:e>
                <m:r>
                  <m:t>D</m:t>
                </m:r>
              </m:e>
              <m:sub>
                <m:r>
                  <m:t>L</m:t>
                </m:r>
              </m:sub>
            </m:sSub>
          </m:e>
        </m:d>
      </m:oMath>
      <w:r>
        <w:t xml:space="preserve">. Com prazo fixo e demandas diárias independentes, médias e variâncias constantes, a aproximação normal é:</w:t>
      </w:r>
    </w:p>
    <w:p>
      <w:pPr>
        <w:pStyle w:val="BodyText"/>
        <w:widowControl/>
      </w:pPr>
      <m:oMathPara>
        <m:oMathParaPr>
          <m:jc m:val="center"/>
        </m:oMathParaPr>
        <m:oMath>
          <m:r>
            <m:t>r</m:t>
          </m:r>
          <m:r>
            <m:rPr>
              <m:sty m:val="p"/>
            </m:rPr>
            <m:t>≈</m:t>
          </m:r>
          <m:r>
            <m:t>L</m:t>
          </m:r>
          <m:sSub>
            <m:e>
              <m:r>
                <m:t>μ</m:t>
              </m:r>
            </m:e>
            <m:sub>
              <m:r>
                <m:t>d</m:t>
              </m:r>
            </m:sub>
          </m:sSub>
          <m:r>
            <m:rPr>
              <m:sty m:val="p"/>
            </m:rPr>
            <m:t>+</m:t>
          </m:r>
          <m:sSub>
            <m:e>
              <m:r>
                <m:t>z</m:t>
              </m:r>
            </m:e>
            <m:sub>
              <m:r>
                <m:t>α</m:t>
              </m:r>
            </m:sub>
          </m:sSub>
          <m:sSub>
            <m:e>
              <m:r>
                <m:t>σ</m:t>
              </m:r>
            </m:e>
            <m:sub>
              <m:r>
                <m:t>d</m:t>
              </m:r>
            </m:sub>
          </m:sSub>
          <m:rad>
            <m:radPr>
              <m:degHide m:val="on"/>
            </m:radPr>
            <m:deg/>
            <m:e>
              <m:r>
                <m:t>L</m:t>
              </m:r>
            </m:e>
          </m:rad>
        </m:oMath>
      </m:oMathPara>
    </w:p>
    <w:p>
      <w:pPr>
        <w:pStyle w:val="FirstParagraph"/>
        <w:widowControl/>
      </w:pPr>
      <w:r>
        <w:t xml:space="preserve">Sem independência, somar covariâncias; com prazo variável, usar distribuição conjunta ou simulação validada. Revisão periódica deve cobrir prazo mais intervalo de revisão, respeitando os compromissos do calendário.</w:t>
      </w:r>
    </w:p>
    <w:p>
      <w:pPr>
        <w:pStyle w:val="BodyText"/>
        <w:widowControl/>
      </w:pPr>
      <w:r>
        <w:t xml:space="preserve">Para um lote de período único perecível, avaliar o modelo de jornaleiro:</w:t>
      </w:r>
    </w:p>
    <w:p>
      <w:pPr>
        <w:pStyle w:val="BodyText"/>
        <w:widowControl/>
      </w:pPr>
      <m:oMathPara>
        <m:oMathParaPr>
          <m:jc m:val="center"/>
        </m:oMathParaPr>
        <m:oMath>
          <m:sSup>
            <m:e>
              <m:r>
                <m:t>Q</m:t>
              </m:r>
            </m:e>
            <m:sup>
              <m:r>
                <m:rPr>
                  <m:sty m:val="p"/>
                </m:rPr>
                <m:t>*</m:t>
              </m:r>
            </m:sup>
          </m:sSup>
          <m:r>
            <m:rPr>
              <m:sty m:val="p"/>
            </m:rPr>
            <m:t>=</m:t>
          </m:r>
          <m:sSubSup>
            <m:e>
              <m:r>
                <m:t>F</m:t>
              </m:r>
            </m:e>
            <m:sub>
              <m:r>
                <m:t>D</m:t>
              </m:r>
            </m:sub>
            <m:sup>
              <m:r>
                <m:rPr>
                  <m:sty m:val="p"/>
                </m:rPr>
                <m:t>−</m:t>
              </m:r>
              <m:r>
                <m:t>1</m:t>
              </m:r>
            </m:sup>
          </m:sSubSup>
          <m:d>
            <m:dPr>
              <m:begChr m:val="("/>
              <m:endChr m:val=")"/>
              <m:sepChr m:val=""/>
              <m:grow/>
            </m:dPr>
            <m:e>
              <m:f>
                <m:fPr>
                  <m:type m:val="bar"/>
                </m:fPr>
                <m:num>
                  <m:sSub>
                    <m:e>
                      <m:r>
                        <m:t>C</m:t>
                      </m:r>
                    </m:e>
                    <m:sub>
                      <m:r>
                        <m:t>u</m:t>
                      </m:r>
                    </m:sub>
                  </m:sSub>
                </m:num>
                <m:den>
                  <m:sSub>
                    <m:e>
                      <m:r>
                        <m:t>C</m:t>
                      </m:r>
                    </m:e>
                    <m:sub>
                      <m:r>
                        <m:t>u</m:t>
                      </m:r>
                    </m:sub>
                  </m:sSub>
                  <m:r>
                    <m:rPr>
                      <m:sty m:val="p"/>
                    </m:rPr>
                    <m:t>+</m:t>
                  </m:r>
                  <m:sSub>
                    <m:e>
                      <m:r>
                        <m:t>C</m:t>
                      </m:r>
                    </m:e>
                    <m:sub>
                      <m:r>
                        <m:t>o</m:t>
                      </m:r>
                    </m:sub>
                  </m:sSub>
                </m:den>
              </m:f>
            </m:e>
          </m:d>
        </m:oMath>
      </m:oMathPara>
    </w:p>
    <w:p>
      <w:pPr>
        <w:pStyle w:val="FirstParagraph"/>
        <w:widowControl/>
      </w:pPr>
      <m:oMath>
        <m:sSub>
          <m:e>
            <m:r>
              <m:t>C</m:t>
            </m:r>
          </m:e>
          <m:sub>
            <m:r>
              <m:t>u</m:t>
            </m:r>
          </m:sub>
        </m:sSub>
      </m:oMath>
      <w:r>
        <w:t xml:space="preserve"> </w:t>
      </w:r>
      <w:r>
        <w:t xml:space="preserve">é custo marginal de faltar uma unidade e</w:t>
      </w:r>
      <w:r>
        <w:t xml:space="preserve"> </w:t>
      </w:r>
      <m:oMath>
        <m:sSub>
          <m:e>
            <m:r>
              <m:t>C</m:t>
            </m:r>
          </m:e>
          <m:sub>
            <m:r>
              <m:t>o</m:t>
            </m:r>
          </m:sub>
        </m:sSub>
      </m:oMath>
      <w:r>
        <w:t xml:space="preserve"> </w:t>
      </w:r>
      <w:r>
        <w:t xml:space="preserve">é custo marginal de sobrar, ambos positivos na hipótese clássica. No caso simples,</w:t>
      </w:r>
      <w:r>
        <w:t xml:space="preserve"> </w:t>
      </w:r>
      <m:oMath>
        <m:sSub>
          <m:e>
            <m:r>
              <m:t>C</m:t>
            </m:r>
          </m:e>
          <m:sub>
            <m:r>
              <m:t>u</m:t>
            </m:r>
          </m:sub>
        </m:sSub>
        <m:r>
          <m:rPr>
            <m:sty m:val="p"/>
          </m:rPr>
          <m:t>=</m:t>
        </m:r>
        <m:r>
          <m:t>p</m:t>
        </m:r>
        <m:r>
          <m:rPr>
            <m:sty m:val="p"/>
          </m:rPr>
          <m:t>−</m:t>
        </m:r>
        <m:r>
          <m:t>c</m:t>
        </m:r>
      </m:oMath>
      <w:r>
        <w:t xml:space="preserve"> </w:t>
      </w:r>
      <w:r>
        <w:t xml:space="preserve">e</w:t>
      </w:r>
      <w:r>
        <w:t xml:space="preserve"> </w:t>
      </w:r>
      <m:oMath>
        <m:sSub>
          <m:e>
            <m:r>
              <m:t>C</m:t>
            </m:r>
          </m:e>
          <m:sub>
            <m:r>
              <m:t>o</m:t>
            </m:r>
          </m:sub>
        </m:sSub>
        <m:r>
          <m:rPr>
            <m:sty m:val="p"/>
          </m:rPr>
          <m:t>=</m:t>
        </m:r>
        <m:r>
          <m:t>c</m:t>
        </m:r>
        <m:r>
          <m:rPr>
            <m:sty m:val="p"/>
          </m:rPr>
          <m:t>−</m:t>
        </m:r>
        <m:r>
          <m:t>v</m:t>
        </m:r>
      </m:oMath>
      <w:r>
        <w:t xml:space="preserve">, com preço líquido</w:t>
      </w:r>
      <w:r>
        <w:t xml:space="preserve"> </w:t>
      </w:r>
      <m:oMath>
        <m:r>
          <m:t>p</m:t>
        </m:r>
      </m:oMath>
      <w:r>
        <w:t xml:space="preserve">, custo marginal</w:t>
      </w:r>
      <w:r>
        <w:t xml:space="preserve"> </w:t>
      </w:r>
      <m:oMath>
        <m:r>
          <m:t>c</m:t>
        </m:r>
      </m:oMath>
      <w:r>
        <w:t xml:space="preserve"> </w:t>
      </w:r>
      <w:r>
        <w:t xml:space="preserve">e valor residual líquido</w:t>
      </w:r>
      <w:r>
        <w:t xml:space="preserve"> </w:t>
      </w:r>
      <m:oMath>
        <m:r>
          <m:t>v</m:t>
        </m:r>
      </m:oMath>
      <w:r>
        <w:t xml:space="preserve">. Ajustar descarte, transporte e perdas sem dupla contagem. Se os custos não forem positivos ou a receita for não linear, otimizar diretamente.</w:t>
      </w:r>
    </w:p>
    <w:p>
      <w:pPr>
        <w:pStyle w:val="BodyText"/>
        <w:widowControl/>
      </w:pPr>
      <w:r>
        <w:t xml:space="preserve">Aplicar limites de caixa, capacidade, lote mínimo e validade. Usar primeiro o lote que vence antes quando tecnicamente adequado. O modelo de lote único não resolve automaticamente múltiplos dias ou validade desigual. Não recomendar aumento de estoque acima da capacidade de conservação; temperatura prevista não substitui registros da cadeia de frio.</w:t>
      </w:r>
    </w:p>
    <w:bookmarkEnd w:id="29"/>
    <w:bookmarkStart w:id="30" w:name="custos-preços-insumos-e-kpis"/>
    <w:p>
      <w:pPr>
        <w:pStyle w:val="Heading1"/>
        <w:keepNext/>
        <w:widowControl/>
      </w:pPr>
      <w:r>
        <w:rPr>
          <w:color w:val="000000"/>
        </w:rPr>
        <w:t xml:space="preserve">10 Custos preços insumos e KPIs</w:t>
      </w:r>
    </w:p>
    <w:p>
      <w:pPr>
        <w:pStyle w:val="FirstParagraph"/>
        <w:widowControl/>
      </w:pPr>
      <w:r>
        <w:t xml:space="preserve">Fixar o dicionário com o ERP antes de gerar conselhos. Definir receita líquida operacional para esta análise como receita dos itens menos descontos, devoluções e tributos sobre a venda considerados na regra aprovada. Isso não substitui classificação contábil profissional.</w:t>
      </w:r>
    </w:p>
    <w:p>
      <w:pPr>
        <w:pStyle w:val="BodyText"/>
        <w:widowControl/>
      </w:pPr>
      <m:oMathPara>
        <m:oMathParaPr>
          <m:jc m:val="center"/>
        </m:oMathParaPr>
        <m:oMath>
          <m:r>
            <m:t>M</m:t>
          </m:r>
          <m:r>
            <m:t>C</m:t>
          </m:r>
          <m:r>
            <m:rPr>
              <m:sty m:val="p"/>
            </m:rPr>
            <m:t>=</m:t>
          </m:r>
          <m:sSub>
            <m:e>
              <m:r>
                <m:t>R</m:t>
              </m:r>
            </m:e>
            <m:sub>
              <m:r>
                <m:t>l</m:t>
              </m:r>
              <m:r>
                <m:t>i</m:t>
              </m:r>
              <m:r>
                <m:t>q</m:t>
              </m:r>
            </m:sub>
          </m:sSub>
          <m:r>
            <m:rPr>
              <m:sty m:val="p"/>
            </m:rPr>
            <m:t>−</m:t>
          </m:r>
          <m:r>
            <m:t>C</m:t>
          </m:r>
          <m:r>
            <m:t>M</m:t>
          </m:r>
          <m:r>
            <m:t>V</m:t>
          </m:r>
          <m:r>
            <m:rPr>
              <m:sty m:val="p"/>
            </m:rPr>
            <m:t>−</m:t>
          </m:r>
          <m:r>
            <m:t>D</m:t>
          </m:r>
          <m:r>
            <m:t>V</m:t>
          </m:r>
        </m:oMath>
      </m:oMathPara>
    </w:p>
    <w:p>
      <w:pPr>
        <w:pStyle w:val="FirstParagraph"/>
        <w:widowControl/>
      </w:pPr>
      <m:oMath>
        <m:r>
          <m:t>M</m:t>
        </m:r>
        <m:r>
          <m:t>C</m:t>
        </m:r>
      </m:oMath>
      <w:r>
        <w:t xml:space="preserve"> </w:t>
      </w:r>
      <w:r>
        <w:t xml:space="preserve">é margem de contribuição em reais;</w:t>
      </w:r>
      <w:r>
        <w:t xml:space="preserve"> </w:t>
      </w:r>
      <m:oMath>
        <m:r>
          <m:t>C</m:t>
        </m:r>
        <m:r>
          <m:t>M</m:t>
        </m:r>
        <m:r>
          <m:t>V</m:t>
        </m:r>
      </m:oMath>
      <w:r>
        <w:t xml:space="preserve"> </w:t>
      </w:r>
      <w:r>
        <w:t xml:space="preserve">é custo das mercadorias vendidas;</w:t>
      </w:r>
      <w:r>
        <w:t xml:space="preserve"> </w:t>
      </w:r>
      <m:oMath>
        <m:r>
          <m:t>D</m:t>
        </m:r>
        <m:r>
          <m:t>V</m:t>
        </m:r>
      </m:oMath>
      <w:r>
        <w:t xml:space="preserve"> </w:t>
      </w:r>
      <w:r>
        <w:t xml:space="preserve">são despesas variáveis ainda não deduzidas. Frete, taxas e tributos entram uma vez. O resultado gerencial do período subtrai custos fixos e demais despesas previstas no escopo, com tratamento explícito de depreciação e remuneração do trabalho. Faturamento, contribuição, resultado e dinheiro recebido não são sinônimos.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DFE7ED"/>
            <w:tcMar>
              <w:top w:w="90" w:type="dxa"/>
              <w:left w:w="90" w:type="dxa"/>
              <w:bottom w:w="90" w:type="dxa"/>
              <w:right w:w="90" w:type="dxa"/>
            </w:tcMar>
          </w:tcPr>
          <w:p>
            <w:pPr>
              <w:spacing w:after="40" w:line="240" w:lineRule="auto"/>
            </w:pPr>
            <w:r>
              <w:rPr>
                <w:b/>
                <w:sz w:val="20"/>
              </w:rPr>
              <w:t>Indicador</w:t>
            </w:r>
          </w:p>
        </w:tc>
        <w:tc>
          <w:tcPr>
            <w:tcW w:type="dxa" w:w="7704"/>
            <w:vAlign w:val="center"/>
            <w:shd w:fill="DFE7ED"/>
            <w:tcMar>
              <w:top w:w="90" w:type="dxa"/>
              <w:left w:w="90" w:type="dxa"/>
              <w:bottom w:w="90" w:type="dxa"/>
              <w:right w:w="90" w:type="dxa"/>
            </w:tcMar>
          </w:tcPr>
          <w:p>
            <w:pPr>
              <w:spacing w:after="40" w:line="240" w:lineRule="auto"/>
            </w:pPr>
            <w:r>
              <w:rPr>
                <w:b/>
                <w:sz w:val="20"/>
              </w:rPr>
              <w:t>Definição e restrição</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Ticket médio</w:t>
            </w:r>
          </w:p>
        </w:tc>
        <w:tc>
          <w:tcPr>
            <w:tcW w:type="dxa" w:w="7704"/>
            <w:vAlign w:val="center"/>
            <w:shd w:fill="FFFFFF"/>
            <w:tcMar>
              <w:top w:w="90" w:type="dxa"/>
              <w:left w:w="90" w:type="dxa"/>
              <w:bottom w:w="90" w:type="dxa"/>
              <w:right w:w="90" w:type="dxa"/>
            </w:tcMar>
          </w:tcPr>
          <w:p>
            <w:pPr>
              <w:spacing w:after="40" w:line="240" w:lineRule="auto"/>
            </w:pPr>
            <w:r>
              <w:rPr>
                <w:b w:val="0"/>
                <w:sz w:val="20"/>
              </w:rPr>
              <w:t>Receita no escopo dividida por vendas elegíveis; nulo se não houver vendas</w:t>
            </w:r>
          </w:p>
        </w:tc>
      </w:tr>
      <w:tr>
        <w:trPr>
          <w:cantSplit/>
        </w:trPr>
        <w:tc>
          <w:tcPr>
            <w:tcW w:type="dxa" w:w="2232"/>
            <w:vAlign w:val="center"/>
            <w:shd w:fill="F5F7F9"/>
            <w:tcMar>
              <w:top w:w="90" w:type="dxa"/>
              <w:left w:w="90" w:type="dxa"/>
              <w:bottom w:w="90" w:type="dxa"/>
              <w:right w:w="90" w:type="dxa"/>
            </w:tcMar>
          </w:tcPr>
          <w:p>
            <w:pPr>
              <w:spacing w:after="40" w:line="240" w:lineRule="auto"/>
            </w:pPr>
            <w:r>
              <w:rPr>
                <w:b w:val="0"/>
                <w:sz w:val="20"/>
              </w:rPr>
              <w:t>Margem de contribuição percentual</w:t>
            </w:r>
          </w:p>
        </w:tc>
        <w:tc>
          <w:tcPr>
            <w:tcW w:type="dxa" w:w="7704"/>
            <w:vAlign w:val="center"/>
            <w:shd w:fill="F5F7F9"/>
            <w:tcMar>
              <w:top w:w="90" w:type="dxa"/>
              <w:left w:w="90" w:type="dxa"/>
              <w:bottom w:w="90" w:type="dxa"/>
              <w:right w:w="90" w:type="dxa"/>
            </w:tcMar>
          </w:tcPr>
          <w:p>
            <w:pPr>
              <w:spacing w:after="40" w:line="240" w:lineRule="auto"/>
            </w:pPr>
            <w:r>
              <w:rPr>
                <w:b w:val="0"/>
                <w:sz w:val="20"/>
              </w:rPr>
              <w:t>MC dividida por receita líquida positiva; declarar período</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Ponto de equilíbrio em unidades</w:t>
            </w:r>
          </w:p>
        </w:tc>
        <w:tc>
          <w:tcPr>
            <w:tcW w:type="dxa" w:w="7704"/>
            <w:vAlign w:val="center"/>
            <w:shd w:fill="FFFFFF"/>
            <w:tcMar>
              <w:top w:w="90" w:type="dxa"/>
              <w:left w:w="90" w:type="dxa"/>
              <w:bottom w:w="90" w:type="dxa"/>
              <w:right w:w="90" w:type="dxa"/>
            </w:tcMar>
          </w:tcPr>
          <w:p>
            <w:pPr>
              <w:spacing w:after="40" w:line="240" w:lineRule="auto"/>
            </w:pPr>
            <w:r>
              <w:rPr>
                <w:b w:val="0"/>
                <w:sz w:val="20"/>
              </w:rPr>
              <w:t>Custo fixo dividido por contribuição unitária positiva; caso homogêneo</w:t>
            </w:r>
          </w:p>
        </w:tc>
      </w:tr>
      <w:tr>
        <w:trPr>
          <w:cantSplit/>
        </w:trPr>
        <w:tc>
          <w:tcPr>
            <w:tcW w:type="dxa" w:w="2232"/>
            <w:vAlign w:val="center"/>
            <w:shd w:fill="F5F7F9"/>
            <w:tcMar>
              <w:top w:w="90" w:type="dxa"/>
              <w:left w:w="90" w:type="dxa"/>
              <w:bottom w:w="90" w:type="dxa"/>
              <w:right w:w="90" w:type="dxa"/>
            </w:tcMar>
          </w:tcPr>
          <w:p>
            <w:pPr>
              <w:spacing w:after="40" w:line="240" w:lineRule="auto"/>
            </w:pPr>
            <w:r>
              <w:rPr>
                <w:b w:val="0"/>
                <w:sz w:val="20"/>
              </w:rPr>
              <w:t>Giro</w:t>
            </w:r>
          </w:p>
        </w:tc>
        <w:tc>
          <w:tcPr>
            <w:tcW w:type="dxa" w:w="7704"/>
            <w:vAlign w:val="center"/>
            <w:shd w:fill="F5F7F9"/>
            <w:tcMar>
              <w:top w:w="90" w:type="dxa"/>
              <w:left w:w="90" w:type="dxa"/>
              <w:bottom w:w="90" w:type="dxa"/>
              <w:right w:w="90" w:type="dxa"/>
            </w:tcMar>
          </w:tcPr>
          <w:p>
            <w:pPr>
              <w:spacing w:after="40" w:line="240" w:lineRule="auto"/>
            </w:pPr>
            <w:r>
              <w:rPr>
                <w:b w:val="0"/>
                <w:sz w:val="20"/>
              </w:rPr>
              <w:t>CMV dividido pelo estoque médio a custo; período e amostragem compatíveis</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Cobertura</w:t>
            </w:r>
          </w:p>
        </w:tc>
        <w:tc>
          <w:tcPr>
            <w:tcW w:type="dxa" w:w="7704"/>
            <w:vAlign w:val="center"/>
            <w:shd w:fill="FFFFFF"/>
            <w:tcMar>
              <w:top w:w="90" w:type="dxa"/>
              <w:left w:w="90" w:type="dxa"/>
              <w:bottom w:w="90" w:type="dxa"/>
              <w:right w:w="90" w:type="dxa"/>
            </w:tcMar>
          </w:tcPr>
          <w:p>
            <w:pPr>
              <w:spacing w:after="40" w:line="240" w:lineRule="auto"/>
            </w:pPr>
            <w:r>
              <w:rPr>
                <w:b w:val="0"/>
                <w:sz w:val="20"/>
              </w:rPr>
              <w:t>Estoque vendável dividido por demanda média positiva; aproximação em dias</w:t>
            </w:r>
          </w:p>
        </w:tc>
      </w:tr>
      <w:tr>
        <w:trPr>
          <w:cantSplit/>
        </w:trPr>
        <w:tc>
          <w:tcPr>
            <w:tcW w:type="dxa" w:w="2232"/>
            <w:vAlign w:val="center"/>
            <w:shd w:fill="F5F7F9"/>
            <w:tcMar>
              <w:top w:w="90" w:type="dxa"/>
              <w:left w:w="90" w:type="dxa"/>
              <w:bottom w:w="90" w:type="dxa"/>
              <w:right w:w="90" w:type="dxa"/>
            </w:tcMar>
          </w:tcPr>
          <w:p>
            <w:pPr>
              <w:spacing w:after="40" w:line="240" w:lineRule="auto"/>
            </w:pPr>
            <w:r>
              <w:rPr>
                <w:b w:val="0"/>
                <w:sz w:val="20"/>
              </w:rPr>
              <w:t>Conversão</w:t>
            </w:r>
          </w:p>
        </w:tc>
        <w:tc>
          <w:tcPr>
            <w:tcW w:type="dxa" w:w="7704"/>
            <w:vAlign w:val="center"/>
            <w:shd w:fill="F5F7F9"/>
            <w:tcMar>
              <w:top w:w="90" w:type="dxa"/>
              <w:left w:w="90" w:type="dxa"/>
              <w:bottom w:w="90" w:type="dxa"/>
              <w:right w:w="90" w:type="dxa"/>
            </w:tcMar>
          </w:tcPr>
          <w:p>
            <w:pPr>
              <w:spacing w:after="40" w:line="240" w:lineRule="auto"/>
            </w:pPr>
            <w:r>
              <w:rPr>
                <w:b w:val="0"/>
                <w:sz w:val="20"/>
              </w:rPr>
              <w:t>Compradores divididos por oportunidades realmente medidas; não inferir visitas</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Perda física</w:t>
            </w:r>
          </w:p>
        </w:tc>
        <w:tc>
          <w:tcPr>
            <w:tcW w:type="dxa" w:w="7704"/>
            <w:vAlign w:val="center"/>
            <w:shd w:fill="FFFFFF"/>
            <w:tcMar>
              <w:top w:w="90" w:type="dxa"/>
              <w:left w:w="90" w:type="dxa"/>
              <w:bottom w:w="90" w:type="dxa"/>
              <w:right w:w="90" w:type="dxa"/>
            </w:tcMar>
          </w:tcPr>
          <w:p>
            <w:pPr>
              <w:spacing w:after="40" w:line="240" w:lineRule="auto"/>
            </w:pPr>
            <w:r>
              <w:rPr>
                <w:b w:val="0"/>
                <w:sz w:val="20"/>
              </w:rPr>
              <w:t>Quantidade perdida dividida por base física explicitada; separar perda em reais</w:t>
            </w:r>
          </w:p>
        </w:tc>
      </w:tr>
    </w:tbl>
    <w:p>
      <w:pPr>
        <w:pStyle w:val="BodyText"/>
        <w:widowControl/>
      </w:pPr>
      <w:r>
        <w:t xml:space="preserve">Para preço bruto com despesas proporcionais</w:t>
      </w:r>
      <w:r>
        <w:t xml:space="preserve"> </w:t>
      </w:r>
      <m:oMath>
        <m:r>
          <m:t>τ</m:t>
        </m:r>
      </m:oMath>
      <w:r>
        <w:t xml:space="preserve">, custo variável unitário monetário</w:t>
      </w:r>
      <w:r>
        <w:t xml:space="preserve"> </w:t>
      </w:r>
      <m:oMath>
        <m:r>
          <m:t>c</m:t>
        </m:r>
      </m:oMath>
      <w:r>
        <w:t xml:space="preserve"> </w:t>
      </w:r>
      <w:r>
        <w:t xml:space="preserve">e contribuição alvo</w:t>
      </w:r>
      <w:r>
        <w:t xml:space="preserve"> </w:t>
      </w:r>
      <m:oMath>
        <m:r>
          <m:t>m</m:t>
        </m:r>
      </m:oMath>
      <w:r>
        <w:t xml:space="preserve"> </w:t>
      </w:r>
      <w:r>
        <w:t xml:space="preserve">como fração do preço bruto:</w:t>
      </w:r>
    </w:p>
    <w:p>
      <w:pPr>
        <w:pStyle w:val="BodyText"/>
        <w:widowControl/>
      </w:pPr>
      <m:oMathPara>
        <m:oMathParaPr>
          <m:jc m:val="center"/>
        </m:oMathParaPr>
        <m:oMath>
          <m:r>
            <m:t>p</m:t>
          </m:r>
          <m:r>
            <m:rPr>
              <m:sty m:val="p"/>
            </m:rPr>
            <m:t>=</m:t>
          </m:r>
          <m:f>
            <m:fPr>
              <m:type m:val="bar"/>
            </m:fPr>
            <m:num>
              <m:r>
                <m:t>c</m:t>
              </m:r>
            </m:num>
            <m:den>
              <m:r>
                <m:t>1</m:t>
              </m:r>
              <m:r>
                <m:rPr>
                  <m:sty m:val="p"/>
                </m:rPr>
                <m:t>−</m:t>
              </m:r>
              <m:r>
                <m:t>τ</m:t>
              </m:r>
              <m:r>
                <m:rPr>
                  <m:sty m:val="p"/>
                </m:rPr>
                <m:t>−</m:t>
              </m:r>
              <m:r>
                <m:t>m</m:t>
              </m:r>
            </m:den>
          </m:f>
          <m:r>
            <m:rPr>
              <m:sty m:val="p"/>
            </m:rPr>
            <m:t>,</m:t>
          </m:r>
          <m:r>
            <m:t>  </m:t>
          </m:r>
          <m:r>
            <m:t>1</m:t>
          </m:r>
          <m:r>
            <m:rPr>
              <m:sty m:val="p"/>
            </m:rPr>
            <m:t>−</m:t>
          </m:r>
          <m:r>
            <m:t>τ</m:t>
          </m:r>
          <m:r>
            <m:rPr>
              <m:sty m:val="p"/>
            </m:rPr>
            <m:t>−</m:t>
          </m:r>
          <m:r>
            <m:t>m</m:t>
          </m:r>
          <m:r>
            <m:rPr>
              <m:sty m:val="p"/>
            </m:rPr>
            <m:t>&gt;</m:t>
          </m:r>
          <m:r>
            <m:t>0</m:t>
          </m:r>
        </m:oMath>
      </m:oMathPara>
    </w:p>
    <w:p>
      <w:pPr>
        <w:pStyle w:val="FirstParagraph"/>
        <w:widowControl/>
      </w:pPr>
      <w:r>
        <w:t xml:space="preserve">Esta equação não é uma garantia de aceitação de mercado. Se</w:t>
      </w:r>
      <w:r>
        <w:t xml:space="preserve"> </w:t>
      </w:r>
      <m:oMath>
        <m:r>
          <m:t>c</m:t>
        </m:r>
      </m:oMath>
      <w:r>
        <w:t xml:space="preserve"> </w:t>
      </w:r>
      <w:r>
        <w:t xml:space="preserve">já incluir despesas percentuais, reconciliar a base antes de usá-la. Margem e markup têm denominadores diferentes. Elasticidade pode orientar simulações somente com evidência adequada; associação entre preço e venda pode refletir promoções, sazonalidade e ruptura.</w:t>
      </w:r>
    </w:p>
    <w:p>
      <w:pPr>
        <w:pStyle w:val="BodyText"/>
        <w:widowControl/>
      </w:pPr>
      <w:r>
        <w:t xml:space="preserve">Comparar insumos e alimentos em unidade equivalente e qualidade comparável, incluindo rendimento útil, frete, perdas e prazo. Separar preço ao produtor, atacado e varejo, local e data. Fontes externas como o portal da Conab [4] são referências a validar, não cotações locais automaticamente disponíveis. Sem importação autorizada e atualizada, usar os registros do produtor e identificar sua defasagem. Não pressupor nova API ou assinatura.</w:t>
      </w:r>
    </w:p>
    <w:bookmarkEnd w:id="30"/>
    <w:bookmarkStart w:id="31" w:name="crm-recompra-e-contato"/>
    <w:p>
      <w:pPr>
        <w:pStyle w:val="Heading1"/>
        <w:keepNext/>
        <w:widowControl/>
      </w:pPr>
      <w:r>
        <w:rPr>
          <w:color w:val="000000"/>
        </w:rPr>
        <w:t xml:space="preserve">11 CRM recompra e contato</w:t>
      </w:r>
    </w:p>
    <w:p>
      <w:pPr>
        <w:pStyle w:val="FirstParagraph"/>
        <w:widowControl/>
      </w:pPr>
      <w:r>
        <w:t xml:space="preserve">Usar recência, frequência e contribuição por cliente em janelas declaradas. Ajustar comparações ao tempo de relacionamento: cliente novo não deve ser classificado como desengajado por falta de um histórico que ainda não existe. Segmentar por hábitos e canal quando o tamanho da amostra permitir.</w:t>
      </w:r>
    </w:p>
    <w:p>
      <w:pPr>
        <w:pStyle w:val="BodyText"/>
        <w:widowControl/>
      </w:pPr>
      <w:r>
        <w:t xml:space="preserve">Para recompra, definir o evento como</w:t>
      </w:r>
      <w:r>
        <w:t xml:space="preserve"> </w:t>
      </w:r>
      <w:r>
        <w:t xml:space="preserve">“</w:t>
      </w:r>
      <w:r>
        <w:t xml:space="preserve">ao menos uma compra nos próximos 30 dias</w:t>
      </w:r>
      <w:r>
        <w:t xml:space="preserve">”</w:t>
      </w:r>
      <w:r>
        <w:t xml:space="preserve">, por exemplo, com data de referência explícita. Um modelo logístico pode estimar:</w:t>
      </w:r>
    </w:p>
    <w:p>
      <w:pPr>
        <w:pStyle w:val="BodyText"/>
        <w:widowControl/>
      </w:pPr>
      <m:oMathPara>
        <m:oMathParaPr>
          <m:jc m:val="center"/>
        </m:oMathParaPr>
        <m:oMath>
          <m:r>
            <m:t>P</m:t>
          </m:r>
          <m:d>
            <m:dPr>
              <m:begChr m:val="("/>
              <m:endChr m:val=")"/>
              <m:sepChr m:val=""/>
              <m:grow/>
            </m:dPr>
            <m:e>
              <m:r>
                <m:t>Y</m:t>
              </m:r>
              <m:r>
                <m:rPr>
                  <m:sty m:val="p"/>
                </m:rPr>
                <m:t>=</m:t>
              </m:r>
              <m:r>
                <m:t>1</m:t>
              </m:r>
              <m:r>
                <m:rPr>
                  <m:sty m:val="p"/>
                </m:rPr>
                <m:t>∣</m:t>
              </m:r>
              <m:r>
                <m:t>x</m:t>
              </m:r>
            </m:e>
          </m:d>
          <m:r>
            <m:rPr>
              <m:sty m:val="p"/>
            </m:rPr>
            <m:t>=</m:t>
          </m:r>
          <m:f>
            <m:fPr>
              <m:type m:val="bar"/>
            </m:fPr>
            <m:num>
              <m:r>
                <m:t>1</m:t>
              </m:r>
            </m:num>
            <m:den>
              <m:r>
                <m:t>1</m:t>
              </m:r>
              <m:r>
                <m:rPr>
                  <m:sty m:val="p"/>
                </m:rPr>
                <m:t>+</m:t>
              </m:r>
              <m:sSup>
                <m:e>
                  <m:r>
                    <m:t>e</m:t>
                  </m:r>
                </m:e>
                <m:sup>
                  <m:r>
                    <m:rPr>
                      <m:sty m:val="p"/>
                    </m:rPr>
                    <m:t>−</m:t>
                  </m:r>
                  <m:d>
                    <m:dPr>
                      <m:begChr m:val="("/>
                      <m:endChr m:val=")"/>
                      <m:sepChr m:val=""/>
                      <m:grow/>
                    </m:dPr>
                    <m:e>
                      <m:sSub>
                        <m:e>
                          <m:r>
                            <m:t>β</m:t>
                          </m:r>
                        </m:e>
                        <m:sub>
                          <m:r>
                            <m:t>0</m:t>
                          </m:r>
                        </m:sub>
                      </m:sSub>
                      <m:r>
                        <m:rPr>
                          <m:sty m:val="p"/>
                        </m:rPr>
                        <m:t>+</m:t>
                      </m:r>
                      <m:sSup>
                        <m:e>
                          <m:r>
                            <m:t>β</m:t>
                          </m:r>
                        </m:e>
                        <m:sup>
                          <m:r>
                            <m:rPr>
                              <m:sty m:val="p"/>
                              <m:scr m:val="sans-serif"/>
                            </m:rPr>
                            <m:t>T</m:t>
                          </m:r>
                        </m:sup>
                      </m:sSup>
                      <m:r>
                        <m:t>x</m:t>
                      </m:r>
                    </m:e>
                  </m:d>
                </m:sup>
              </m:sSup>
            </m:den>
          </m:f>
        </m:oMath>
      </m:oMathPara>
    </w:p>
    <w:p>
      <w:pPr>
        <w:pStyle w:val="FirstParagraph"/>
        <w:widowControl/>
      </w:pPr>
      <w:r>
        <w:t xml:space="preserve">Coeficientes exigem treinamento e avaliação temporal. Sem modelo validado, um score de prioridade deve ser chamado de score, não de probabilidade de recompra. Tratar como desconhecido o desfecho de clientes que ainda não completaram a janela de observação.</w:t>
      </w:r>
    </w:p>
    <w:p>
      <w:pPr>
        <w:pStyle w:val="BodyText"/>
        <w:widowControl/>
      </w:pPr>
      <w:r>
        <w:t xml:space="preserve">Para um cliente</w:t>
      </w:r>
      <w:r>
        <w:t xml:space="preserve"> </w:t>
      </w:r>
      <m:oMath>
        <m:r>
          <m:t>j</m:t>
        </m:r>
      </m:oMath>
      <w:r>
        <w:t xml:space="preserve">, uma definição operacional de valor futuro esperado é:</w:t>
      </w:r>
    </w:p>
    <w:p>
      <w:pPr>
        <w:pStyle w:val="BodyText"/>
        <w:widowControl/>
      </w:pPr>
      <m:oMathPara>
        <m:oMathParaPr>
          <m:jc m:val="center"/>
        </m:oMathParaPr>
        <m:oMath>
          <m:r>
            <m:t>L</m:t>
          </m:r>
          <m:r>
            <m:t>T</m:t>
          </m:r>
          <m:sSub>
            <m:e>
              <m:r>
                <m:t>V</m:t>
              </m:r>
            </m:e>
            <m:sub>
              <m:r>
                <m:t>j</m:t>
              </m:r>
            </m:sub>
          </m:sSub>
          <m:r>
            <m:rPr>
              <m:sty m:val="p"/>
            </m:rPr>
            <m:t>=</m:t>
          </m:r>
          <m:nary>
            <m:naryPr>
              <m:chr m:val="∑"/>
              <m:limLoc m:val="undOvr"/>
              <m:subHide m:val="off"/>
              <m:supHide m:val="off"/>
            </m:naryPr>
            <m:sub>
              <m:r>
                <m:t>t</m:t>
              </m:r>
              <m:r>
                <m:rPr>
                  <m:sty m:val="p"/>
                </m:rPr>
                <m:t>=</m:t>
              </m:r>
              <m:r>
                <m:t>1</m:t>
              </m:r>
            </m:sub>
            <m:sup>
              <m:r>
                <m:t>H</m:t>
              </m:r>
            </m:sup>
            <m:e>
              <m:f>
                <m:fPr>
                  <m:type m:val="bar"/>
                </m:fPr>
                <m:num>
                  <m:r>
                    <m:t>E</m:t>
                  </m:r>
                  <m:d>
                    <m:dPr>
                      <m:begChr m:val="["/>
                      <m:endChr m:val="]"/>
                      <m:sepChr m:val=""/>
                      <m:grow/>
                    </m:dPr>
                    <m:e>
                      <m:r>
                        <m:t>M</m:t>
                      </m:r>
                      <m:sSub>
                        <m:e>
                          <m:r>
                            <m:t>C</m:t>
                          </m:r>
                        </m:e>
                        <m:sub>
                          <m:r>
                            <m:t>j</m:t>
                          </m:r>
                          <m:r>
                            <m:rPr>
                              <m:sty m:val="p"/>
                            </m:rPr>
                            <m:t>,</m:t>
                          </m:r>
                          <m:r>
                            <m:t>t</m:t>
                          </m:r>
                        </m:sub>
                      </m:sSub>
                    </m:e>
                  </m:d>
                </m:num>
                <m:den>
                  <m:sSup>
                    <m:e>
                      <m:d>
                        <m:dPr>
                          <m:begChr m:val="("/>
                          <m:endChr m:val=")"/>
                          <m:sepChr m:val=""/>
                          <m:grow/>
                        </m:dPr>
                        <m:e>
                          <m:r>
                            <m:t>1</m:t>
                          </m:r>
                          <m:r>
                            <m:rPr>
                              <m:sty m:val="p"/>
                            </m:rPr>
                            <m:t>+</m:t>
                          </m:r>
                          <m:r>
                            <m:t>d</m:t>
                          </m:r>
                        </m:e>
                      </m:d>
                    </m:e>
                    <m:sup>
                      <m:r>
                        <m:t>t</m:t>
                      </m:r>
                    </m:sup>
                  </m:sSup>
                </m:den>
              </m:f>
            </m:e>
          </m:nary>
          <m:r>
            <m:rPr>
              <m:sty m:val="p"/>
            </m:rPr>
            <m:t>−</m:t>
          </m:r>
          <m:sSub>
            <m:e>
              <m:r>
                <m:t>C</m:t>
              </m:r>
            </m:e>
            <m:sub>
              <m:r>
                <m:t>a</m:t>
              </m:r>
              <m:r>
                <m:t>t</m:t>
              </m:r>
              <m:r>
                <m:t>e</m:t>
              </m:r>
              <m:r>
                <m:t>n</m:t>
              </m:r>
              <m:r>
                <m:t>d</m:t>
              </m:r>
              <m:r>
                <m:t>i</m:t>
              </m:r>
              <m:r>
                <m:t>m</m:t>
              </m:r>
              <m:r>
                <m:t>e</m:t>
              </m:r>
              <m:r>
                <m:t>n</m:t>
              </m:r>
              <m:r>
                <m:t>t</m:t>
              </m:r>
              <m:r>
                <m:t>o</m:t>
              </m:r>
              <m:r>
                <m:rPr>
                  <m:sty m:val="p"/>
                </m:rPr>
                <m:t>,</m:t>
              </m:r>
              <m:r>
                <m:t>j</m:t>
              </m:r>
            </m:sub>
          </m:sSub>
        </m:oMath>
      </m:oMathPara>
    </w:p>
    <w:p>
      <w:pPr>
        <w:pStyle w:val="FirstParagraph"/>
        <w:widowControl/>
      </w:pPr>
      <m:oMath>
        <m:r>
          <m:t>M</m:t>
        </m:r>
        <m:sSub>
          <m:e>
            <m:r>
              <m:t>C</m:t>
            </m:r>
          </m:e>
          <m:sub>
            <m:r>
              <m:t>j</m:t>
            </m:r>
            <m:r>
              <m:rPr>
                <m:sty m:val="p"/>
              </m:rPr>
              <m:t>,</m:t>
            </m:r>
            <m:r>
              <m:t>t</m:t>
            </m:r>
          </m:sub>
        </m:sSub>
      </m:oMath>
      <w:r>
        <w:t xml:space="preserve"> </w:t>
      </w:r>
      <w:r>
        <w:t xml:space="preserve">já deve incluir a chance de atividade e compra; não multiplicar sobrevivência novamente.</w:t>
      </w:r>
      <w:r>
        <w:t xml:space="preserve"> </w:t>
      </w:r>
      <m:oMath>
        <m:r>
          <m:t>d</m:t>
        </m:r>
      </m:oMath>
      <w:r>
        <w:t xml:space="preserve"> </w:t>
      </w:r>
      <w:r>
        <w:t xml:space="preserve">corresponde ao mesmo período de</w:t>
      </w:r>
      <w:r>
        <w:t xml:space="preserve"> </w:t>
      </w:r>
      <m:oMath>
        <m:r>
          <m:t>t</m:t>
        </m:r>
      </m:oMath>
      <w:r>
        <w:t xml:space="preserve">, e</w:t>
      </w:r>
      <w:r>
        <w:t xml:space="preserve"> </w:t>
      </w:r>
      <m:oMath>
        <m:r>
          <m:t>H</m:t>
        </m:r>
      </m:oMath>
      <w:r>
        <w:t xml:space="preserve"> </w:t>
      </w:r>
      <w:r>
        <w:t xml:space="preserve">é horizonte declarado. Não extrapolar valor perpétuo com poucas vendas. Separar projeção de contribuição de receita acumulada observada.</w:t>
      </w:r>
    </w:p>
    <w:p>
      <w:pPr>
        <w:pStyle w:val="BodyText"/>
        <w:widowControl/>
      </w:pPr>
      <w:r>
        <w:t xml:space="preserve">Uma chance alta de compra não prova que uma mensagem causará nova venda. Priorizar contatos com benefício incremental, custo, estoque e consentimento considerados. Estimar efeito incremental por comparação controlada quando viável; sem isso, identificar como hipótese de contato.</w:t>
      </w:r>
    </w:p>
    <w:p>
      <w:pPr>
        <w:pStyle w:val="BodyText"/>
        <w:widowControl/>
      </w:pPr>
      <w:r>
        <w:t xml:space="preserve">O motor pode preparar uma sugestão ou lembrete. Envio ao cliente depende de ação explícita autorizada e dos canais já instalados. Não introduzir envio automático, API externa ou promessa de notificação apenas pela instalação destas diretrizes. Respeitar preferências de contato e evitar pedidos duplicados ou ofertas de itens indisponíveis.</w:t>
      </w:r>
    </w:p>
    <w:bookmarkEnd w:id="31"/>
    <w:bookmarkStart w:id="32" w:name="simulação-cenários-e-otimização"/>
    <w:p>
      <w:pPr>
        <w:pStyle w:val="Heading1"/>
        <w:keepNext/>
        <w:widowControl/>
      </w:pPr>
      <w:r>
        <w:rPr>
          <w:color w:val="000000"/>
        </w:rPr>
        <w:t xml:space="preserve">12 Simulação cenários e otimização</w:t>
      </w:r>
    </w:p>
    <w:p>
      <w:pPr>
        <w:pStyle w:val="FirstParagraph"/>
        <w:widowControl/>
      </w:pPr>
      <w:r>
        <w:t xml:space="preserve">Simulação de Monte Carlo pode combinar demanda, clima, prazo, perdas e preço, desde que suas distribuições e dependências tenham origem defensável. Gerar muitos números não aumenta a qualidade de premissas frágeis. Se probabilidades forem apenas escolhas do usuário, chamar o resultado de simulação sob hipóteses.</w:t>
      </w:r>
    </w:p>
    <w:p>
      <w:pPr>
        <w:pStyle w:val="BodyText"/>
        <w:widowControl/>
      </w:pPr>
      <w:r>
        <w:t xml:space="preserve">Simular cenários meteorológicos coerentes e, dentro deles, demanda condicional. Não amostrar chuva, umidade e temperatura independentemente por padrão. Também não somar uma</w:t>
      </w:r>
      <w:r>
        <w:t xml:space="preserve"> </w:t>
      </w:r>
      <w:r>
        <w:t xml:space="preserve">“</w:t>
      </w:r>
      <w:r>
        <w:t xml:space="preserve">perda por chuva</w:t>
      </w:r>
      <w:r>
        <w:t xml:space="preserve">”</w:t>
      </w:r>
      <w:r>
        <w:t xml:space="preserve"> </w:t>
      </w:r>
      <w:r>
        <w:t xml:space="preserve">ao lucro se o mesmo impacto já foi incorporado na demanda ou na perda física.</w:t>
      </w:r>
    </w:p>
    <w:p>
      <w:pPr>
        <w:pStyle w:val="BodyText"/>
        <w:widowControl/>
      </w:pPr>
      <w:r>
        <w:t xml:space="preserve">Registrar semente, método, número de amostras, versão e erro numérico. Para estimativa de uma chance por simulações independentes:</w:t>
      </w:r>
    </w:p>
    <w:p>
      <w:pPr>
        <w:pStyle w:val="BodyText"/>
        <w:widowControl/>
      </w:pPr>
      <m:oMathPara>
        <m:oMathParaPr>
          <m:jc m:val="center"/>
        </m:oMathParaPr>
        <m:oMath>
          <m:r>
            <m:t>S</m:t>
          </m:r>
          <m:r>
            <m:t>E</m:t>
          </m:r>
          <m:d>
            <m:dPr>
              <m:begChr m:val="("/>
              <m:endChr m:val=")"/>
              <m:sepChr m:val=""/>
              <m:grow/>
            </m:dPr>
            <m:e>
              <m:acc>
                <m:accPr>
                  <m:chr m:val="̂"/>
                </m:accPr>
                <m:e>
                  <m:r>
                    <m:t>p</m:t>
                  </m:r>
                </m:e>
              </m:acc>
            </m:e>
          </m:d>
          <m:r>
            <m:rPr>
              <m:sty m:val="p"/>
            </m:rPr>
            <m:t>≈</m:t>
          </m:r>
          <m:rad>
            <m:radPr>
              <m:degHide m:val="on"/>
            </m:radPr>
            <m:deg/>
            <m:e>
              <m:f>
                <m:fPr>
                  <m:type m:val="bar"/>
                </m:fPr>
                <m:num>
                  <m:acc>
                    <m:accPr>
                      <m:chr m:val="̂"/>
                    </m:accPr>
                    <m:e>
                      <m:r>
                        <m:t>p</m:t>
                      </m:r>
                    </m:e>
                  </m:acc>
                  <m:d>
                    <m:dPr>
                      <m:begChr m:val="("/>
                      <m:endChr m:val=")"/>
                      <m:sepChr m:val=""/>
                      <m:grow/>
                    </m:dPr>
                    <m:e>
                      <m:r>
                        <m:t>1</m:t>
                      </m:r>
                      <m:r>
                        <m:rPr>
                          <m:sty m:val="p"/>
                        </m:rPr>
                        <m:t>−</m:t>
                      </m:r>
                      <m:acc>
                        <m:accPr>
                          <m:chr m:val="̂"/>
                        </m:accPr>
                        <m:e>
                          <m:r>
                            <m:t>p</m:t>
                          </m:r>
                        </m:e>
                      </m:acc>
                    </m:e>
                  </m:d>
                </m:num>
                <m:den>
                  <m:r>
                    <m:t>N</m:t>
                  </m:r>
                </m:den>
              </m:f>
            </m:e>
          </m:rad>
        </m:oMath>
      </m:oMathPara>
    </w:p>
    <w:p>
      <w:pPr>
        <w:pStyle w:val="FirstParagraph"/>
        <w:widowControl/>
      </w:pPr>
      <w:r>
        <w:t xml:space="preserve">Esse erro mede variabilidade da simulação, não erro do modelo ou do provedor. Se as amostras não forem independentes, a fórmula simples não se aplica. Aumentar</w:t>
      </w:r>
      <w:r>
        <w:t xml:space="preserve"> </w:t>
      </w:r>
      <m:oMath>
        <m:r>
          <m:t>N</m:t>
        </m:r>
      </m:oMath>
      <w:r>
        <w:t xml:space="preserve"> </w:t>
      </w:r>
      <w:r>
        <w:t xml:space="preserve">até a decisão e os quantis relevantes se estabilizarem dentro da tolerância definida; não impor carga excessiva no celular.</w:t>
      </w:r>
    </w:p>
    <w:p>
      <w:pPr>
        <w:pStyle w:val="BodyText"/>
        <w:widowControl/>
      </w:pPr>
      <w:r>
        <w:t xml:space="preserve">Uma formulação candidata para seleção de quantidades por produto é:</w:t>
      </w:r>
    </w:p>
    <w:p>
      <w:pPr>
        <w:pStyle w:val="BodyText"/>
        <w:widowControl/>
      </w:pPr>
      <m:oMathPara>
        <m:oMathParaPr>
          <m:jc m:val="center"/>
        </m:oMathParaPr>
        <m:oMath>
          <m:limLow>
            <m:e>
              <m:r>
                <m:rPr>
                  <m:sty m:val="p"/>
                </m:rPr>
                <m:t>max</m:t>
              </m:r>
            </m:e>
            <m:lim>
              <m:r>
                <m:t>q</m:t>
              </m:r>
              <m:r>
                <m:rPr>
                  <m:sty m:val="p"/>
                </m:rPr>
                <m:t>∈</m:t>
              </m:r>
              <m:r>
                <m:rPr>
                  <m:sty m:val="p"/>
                  <m:scr m:val="script"/>
                </m:rPr>
                <m:t>F</m:t>
              </m:r>
            </m:lim>
          </m:limLow>
          <m:r>
            <m:t> </m:t>
          </m:r>
          <m:r>
            <m:t>E</m:t>
          </m:r>
          <m:d>
            <m:dPr>
              <m:begChr m:val="["/>
              <m:endChr m:val="]"/>
              <m:sepChr m:val=""/>
              <m:grow/>
            </m:dPr>
            <m:e>
              <m:r>
                <m:t>Π</m:t>
              </m:r>
              <m:d>
                <m:dPr>
                  <m:begChr m:val="("/>
                  <m:endChr m:val=")"/>
                  <m:sepChr m:val=""/>
                  <m:grow/>
                </m:dPr>
                <m:e>
                  <m:r>
                    <m:t>q</m:t>
                  </m:r>
                </m:e>
              </m:d>
            </m:e>
          </m:d>
          <m:r>
            <m:rPr>
              <m:sty m:val="p"/>
            </m:rPr>
            <m:t>−</m:t>
          </m:r>
          <m:r>
            <m:t>λ</m:t>
          </m:r>
          <m:r>
            <m:t> </m:t>
          </m:r>
          <m:r>
            <m:t>C</m:t>
          </m:r>
          <m:r>
            <m:t>V</m:t>
          </m:r>
          <m:r>
            <m:t>a</m:t>
          </m:r>
          <m:sSub>
            <m:e>
              <m:r>
                <m:t>R</m:t>
              </m:r>
            </m:e>
            <m:sub>
              <m:r>
                <m:t>α</m:t>
              </m:r>
            </m:sub>
          </m:sSub>
          <m:d>
            <m:dPr>
              <m:begChr m:val="("/>
              <m:endChr m:val=")"/>
              <m:sepChr m:val=""/>
              <m:grow/>
            </m:dPr>
            <m:e>
              <m:r>
                <m:t>L</m:t>
              </m:r>
              <m:d>
                <m:dPr>
                  <m:begChr m:val="("/>
                  <m:endChr m:val=")"/>
                  <m:sepChr m:val=""/>
                  <m:grow/>
                </m:dPr>
                <m:e>
                  <m:r>
                    <m:t>q</m:t>
                  </m:r>
                </m:e>
              </m:d>
            </m:e>
          </m:d>
        </m:oMath>
      </m:oMathPara>
    </w:p>
    <w:p>
      <w:pPr>
        <w:pStyle w:val="FirstParagraph"/>
        <w:widowControl/>
      </w:pPr>
      <m:oMath>
        <m:r>
          <m:rPr>
            <m:sty m:val="p"/>
            <m:scr m:val="script"/>
          </m:rPr>
          <m:t>F</m:t>
        </m:r>
      </m:oMath>
      <w:r>
        <w:t xml:space="preserve"> </w:t>
      </w:r>
      <w:r>
        <w:t xml:space="preserve">representa restrições de caixa, peso, espaço, trabalho, validade e compromissos.</w:t>
      </w:r>
      <w:r>
        <w:t xml:space="preserve"> </w:t>
      </w:r>
      <m:oMath>
        <m:r>
          <m:t>L</m:t>
        </m:r>
      </m:oMath>
      <w:r>
        <w:t xml:space="preserve"> </w:t>
      </w:r>
      <w:r>
        <w:t xml:space="preserve">é perda definida em reais em relação a uma base explícita;</w:t>
      </w:r>
      <w:r>
        <w:t xml:space="preserve"> </w:t>
      </w:r>
      <m:oMath>
        <m:r>
          <m:t>λ</m:t>
        </m:r>
      </m:oMath>
      <w:r>
        <w:t xml:space="preserve"> </w:t>
      </w:r>
      <w:r>
        <w:t xml:space="preserve">expressa aversão ao risco. Definir a cauda superior da perda por:</w:t>
      </w:r>
    </w:p>
    <w:p>
      <w:pPr>
        <w:pStyle w:val="BodyText"/>
        <w:widowControl/>
      </w:pPr>
      <m:oMathPara>
        <m:oMathParaPr>
          <m:jc m:val="center"/>
        </m:oMathParaPr>
        <m:oMath>
          <m:r>
            <m:t>C</m:t>
          </m:r>
          <m:r>
            <m:t>V</m:t>
          </m:r>
          <m:r>
            <m:t>a</m:t>
          </m:r>
          <m:sSub>
            <m:e>
              <m:r>
                <m:t>R</m:t>
              </m:r>
            </m:e>
            <m:sub>
              <m:r>
                <m:t>α</m:t>
              </m:r>
            </m:sub>
          </m:sSub>
          <m:d>
            <m:dPr>
              <m:begChr m:val="("/>
              <m:endChr m:val=")"/>
              <m:sepChr m:val=""/>
              <m:grow/>
            </m:dPr>
            <m:e>
              <m:r>
                <m:t>L</m:t>
              </m:r>
            </m:e>
          </m:d>
          <m:r>
            <m:rPr>
              <m:sty m:val="p"/>
            </m:rPr>
            <m:t>=</m:t>
          </m:r>
          <m:limLow>
            <m:e>
              <m:r>
                <m:rPr>
                  <m:sty m:val="p"/>
                </m:rPr>
                <m:t>min</m:t>
              </m:r>
            </m:e>
            <m:lim>
              <m:r>
                <m:t>z</m:t>
              </m:r>
            </m:lim>
          </m:limLow>
          <m:d>
            <m:dPr>
              <m:begChr m:val="{"/>
              <m:endChr m:val="}"/>
              <m:sepChr m:val=""/>
              <m:grow/>
            </m:dPr>
            <m:e>
              <m:r>
                <m:t>z</m:t>
              </m:r>
              <m:r>
                <m:rPr>
                  <m:sty m:val="p"/>
                </m:rPr>
                <m:t>+</m:t>
              </m:r>
              <m:f>
                <m:fPr>
                  <m:type m:val="bar"/>
                </m:fPr>
                <m:num>
                  <m:r>
                    <m:t>E</m:t>
                  </m:r>
                  <m:d>
                    <m:dPr>
                      <m:begChr m:val="["/>
                      <m:endChr m:val="]"/>
                      <m:sepChr m:val=""/>
                      <m:grow/>
                    </m:dPr>
                    <m:e>
                      <m:sSub>
                        <m:e>
                          <m:d>
                            <m:dPr>
                              <m:begChr m:val="("/>
                              <m:endChr m:val=")"/>
                              <m:sepChr m:val=""/>
                              <m:grow/>
                            </m:dPr>
                            <m:e>
                              <m:r>
                                <m:t>L</m:t>
                              </m:r>
                              <m:r>
                                <m:rPr>
                                  <m:sty m:val="p"/>
                                </m:rPr>
                                <m:t>−</m:t>
                              </m:r>
                              <m:r>
                                <m:t>z</m:t>
                              </m:r>
                            </m:e>
                          </m:d>
                        </m:e>
                        <m:sub>
                          <m:r>
                            <m:rPr>
                              <m:sty m:val="p"/>
                            </m:rPr>
                            <m:t>+</m:t>
                          </m:r>
                        </m:sub>
                      </m:sSub>
                    </m:e>
                  </m:d>
                </m:num>
                <m:den>
                  <m:r>
                    <m:t>1</m:t>
                  </m:r>
                  <m:r>
                    <m:rPr>
                      <m:sty m:val="p"/>
                    </m:rPr>
                    <m:t>−</m:t>
                  </m:r>
                  <m:r>
                    <m:t>α</m:t>
                  </m:r>
                </m:den>
              </m:f>
            </m:e>
          </m:d>
        </m:oMath>
      </m:oMathPara>
    </w:p>
    <w:p>
      <w:pPr>
        <w:pStyle w:val="FirstParagraph"/>
        <w:widowControl/>
      </w:pPr>
      <w:r>
        <w:t xml:space="preserve">Escolher</w:t>
      </w:r>
      <w:r>
        <w:t xml:space="preserve"> </w:t>
      </w:r>
      <m:oMath>
        <m:r>
          <m:t>α</m:t>
        </m:r>
      </m:oMath>
      <w:r>
        <w:t xml:space="preserve"> </w:t>
      </w:r>
      <w:r>
        <w:t xml:space="preserve">e</w:t>
      </w:r>
      <w:r>
        <w:t xml:space="preserve"> </w:t>
      </w:r>
      <m:oMath>
        <m:r>
          <m:t>λ</m:t>
        </m:r>
      </m:oMath>
      <w:r>
        <w:t xml:space="preserve"> </w:t>
      </w:r>
      <w:r>
        <w:t xml:space="preserve">como política transparente, nunca como constantes científicas universais. A otimização pode considerar canibalização entre variantes apenas se houver evidência. Não tratar</w:t>
      </w:r>
      <w:r>
        <w:t xml:space="preserve"> </w:t>
      </w:r>
      <w:r>
        <w:t xml:space="preserve">“</w:t>
      </w:r>
      <w:r>
        <w:t xml:space="preserve">risco de perda</w:t>
      </w:r>
      <w:r>
        <w:t xml:space="preserve">”</w:t>
      </w:r>
      <w:r>
        <w:t xml:space="preserve">,</w:t>
      </w:r>
      <w:r>
        <w:t xml:space="preserve"> </w:t>
      </w:r>
      <w:r>
        <w:t xml:space="preserve">“</w:t>
      </w:r>
      <w:r>
        <w:t xml:space="preserve">falta de estoque</w:t>
      </w:r>
      <w:r>
        <w:t xml:space="preserve">”</w:t>
      </w:r>
      <w:r>
        <w:t xml:space="preserve"> </w:t>
      </w:r>
      <w:r>
        <w:t xml:space="preserve">e</w:t>
      </w:r>
      <w:r>
        <w:t xml:space="preserve"> </w:t>
      </w:r>
      <w:r>
        <w:t xml:space="preserve">“</w:t>
      </w:r>
      <w:r>
        <w:t xml:space="preserve">estoque vencido</w:t>
      </w:r>
      <w:r>
        <w:t xml:space="preserve">”</w:t>
      </w:r>
      <w:r>
        <w:t xml:space="preserve"> </w:t>
      </w:r>
      <w:r>
        <w:t xml:space="preserve">como o mesmo evento.</w:t>
      </w:r>
    </w:p>
    <w:p>
      <w:pPr>
        <w:pStyle w:val="BodyText"/>
        <w:widowControl/>
      </w:pPr>
      <w:r>
        <w:t xml:space="preserve">Na primeira versão, cenários pequenos e enumeráveis podem ser mais auditáveis que um otimizador complexo. Manter o método simples como referência para demonstrar se a complexidade produz benefício prático.</w:t>
      </w:r>
    </w:p>
    <w:bookmarkEnd w:id="32"/>
    <w:bookmarkStart w:id="33" w:name="validação-calibração-e-aprendizado"/>
    <w:p>
      <w:pPr>
        <w:pStyle w:val="Heading1"/>
        <w:keepNext/>
        <w:widowControl/>
      </w:pPr>
      <w:r>
        <w:rPr>
          <w:color w:val="000000"/>
        </w:rPr>
        <w:t xml:space="preserve">13 Validação calibração e aprendizado</w:t>
      </w:r>
    </w:p>
    <w:p>
      <w:pPr>
        <w:pStyle w:val="FirstParagraph"/>
        <w:widowControl/>
      </w:pPr>
      <w:r>
        <w:t xml:space="preserve">Separar treino, escolha de modelo, calibração e teste por tempo. Em validação progressiva, treinar até uma data e avaliar o período seguinte, repetindo sem acesso ao futuro. Aplicar intervalo de separação quando rótulos ou janelas se sobrepõem. Ajustar transformações e seleção de variáveis apenas no treino. A referência de divisão temporal em [5] não dispensa adaptar calendários irregulares e múltiplos produtores.</w:t>
      </w:r>
    </w:p>
    <w:p>
      <w:pPr>
        <w:pStyle w:val="BodyText"/>
        <w:widowControl/>
      </w:pPr>
      <w:r>
        <w:t xml:space="preserve">Para previsão numérica, usar erro absoluto médio e perda de quantil, além de custo econômico. Não usar erro percentual médio quando os valores podem ser zero. Verificar a cobertura dos intervalos fora da amostra por canal e horizonte; cobertura nominal isolada não garante utilidade, pois intervalos excessivamente largos podem acertar quase sempre.</w:t>
      </w:r>
    </w:p>
    <w:p>
      <w:pPr>
        <w:pStyle w:val="BodyText"/>
        <w:widowControl/>
      </w:pPr>
      <m:oMathPara>
        <m:oMathParaPr>
          <m:jc m:val="center"/>
        </m:oMathParaPr>
        <m:oMath>
          <m:r>
            <m:t>M</m:t>
          </m:r>
          <m:r>
            <m:t>A</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m:t>
                  </m:r>
                  <m:sSub>
                    <m:e>
                      <m:acc>
                        <m:accPr>
                          <m:chr m:val="̂"/>
                        </m:accPr>
                        <m:e>
                          <m:r>
                            <m:t>y</m:t>
                          </m:r>
                        </m:e>
                      </m:acc>
                    </m:e>
                    <m:sub>
                      <m:r>
                        <m:t>i</m:t>
                      </m:r>
                    </m:sub>
                  </m:sSub>
                </m:e>
              </m:d>
            </m:e>
          </m:nary>
        </m:oMath>
      </m:oMathPara>
    </w:p>
    <w:p>
      <w:pPr>
        <w:pStyle w:val="FirstParagraph"/>
        <w:widowControl/>
      </w:pPr>
      <w:r>
        <w:t xml:space="preserve">Para eventos binários, o Brier score é:</w:t>
      </w:r>
    </w:p>
    <w:p>
      <w:pPr>
        <w:pStyle w:val="BodyText"/>
        <w:widowControl/>
      </w:pPr>
      <m:oMathPara>
        <m:oMathParaPr>
          <m:jc m:val="center"/>
        </m:oMathParaPr>
        <m:oMath>
          <m:r>
            <m:t>B</m:t>
          </m:r>
          <m:r>
            <m:t>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p</m:t>
                          </m:r>
                        </m:e>
                        <m:sub>
                          <m:r>
                            <m:t>i</m:t>
                          </m:r>
                        </m:sub>
                      </m:sSub>
                      <m:r>
                        <m:rPr>
                          <m:sty m:val="p"/>
                        </m:rPr>
                        <m:t>−</m:t>
                      </m:r>
                      <m:sSub>
                        <m:e>
                          <m:r>
                            <m:t>y</m:t>
                          </m:r>
                        </m:e>
                        <m:sub>
                          <m:r>
                            <m:t>i</m:t>
                          </m:r>
                        </m:sub>
                      </m:sSub>
                    </m:e>
                  </m:d>
                </m:e>
                <m:sup>
                  <m:r>
                    <m:t>2</m:t>
                  </m:r>
                </m:sup>
              </m:sSup>
            </m:e>
          </m:nary>
        </m:oMath>
      </m:oMathPara>
    </w:p>
    <w:p>
      <w:pPr>
        <w:pStyle w:val="FirstParagraph"/>
        <w:widowControl/>
      </w:pPr>
      <w:r>
        <w:t xml:space="preserve">Quanto menor, melhor no conjunto comparado. Avaliar também frequência observada por faixa de probabilidade e tamanho das faixas. Brier combina propriedades e não é, sozinho, diagnóstico puro de calibração. Comparar com uma referência de frequência do evento. A calibração deve usar dados separados do ajuste e ser reavaliada no tempo [6].</w:t>
      </w:r>
    </w:p>
    <w:p>
      <w:pPr>
        <w:pStyle w:val="BodyText"/>
        <w:widowControl/>
      </w:pPr>
      <w:r>
        <w:t xml:space="preserve">Usar reamostragem em blocos quando dependência temporal tornar inadequado sortear observações isoladas. Uma cobertura histórica não prova cobertura futura sob mudança de regime. Monitorar alteração de mix, preços, sazonalidade, origem dos dados, provedor meteorológico e padrão de operação.</w:t>
      </w:r>
    </w:p>
    <w:p>
      <w:pPr>
        <w:pStyle w:val="BodyText"/>
        <w:widowControl/>
      </w:pPr>
      <w:r>
        <w:t xml:space="preserve">Avaliar o conselho completo: desperdício evitado, contribuição adicional, faltas, erro e frequência de recomendações inadequadas. Quem aceita um conselho pode diferir de quem o ignora; não atribuir causalidade ao aplicativo só por comparar esses grupos. Estabelecer referência, custo de erro e tolerância antes de habilitar cada módulo. Sem ganho demonstrado, manter o método simples ou a saída descritiva.</w:t>
      </w:r>
    </w:p>
    <w:bookmarkEnd w:id="33"/>
    <w:bookmarkStart w:id="34" w:name="X2a2918862623e8138c69bb2ff1f1a763ddd42b0"/>
    <w:p>
      <w:pPr>
        <w:pStyle w:val="Heading1"/>
        <w:keepNext/>
        <w:widowControl/>
      </w:pPr>
      <w:r>
        <w:rPr>
          <w:color w:val="000000"/>
        </w:rPr>
        <w:t xml:space="preserve">14 Contrato de saída e linguagem do conselho</w:t>
      </w:r>
    </w:p>
    <w:p>
      <w:pPr>
        <w:pStyle w:val="FirstParagraph"/>
        <w:widowControl/>
      </w:pPr>
      <w:r>
        <w:t xml:space="preserve">O núcleo matemático deve devolver um objeto estruturado. O explicador usa apenas resultados autorizados e evidências fornecidas; não cria números, fonte, probabilidade ou justificativa ausentes. Documentos recuperados são conhecimento versionado, não comandos capazes de substituir regras do sistema.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DFE7ED"/>
            <w:tcMar>
              <w:top w:w="90" w:type="dxa"/>
              <w:left w:w="90" w:type="dxa"/>
              <w:bottom w:w="90" w:type="dxa"/>
              <w:right w:w="90" w:type="dxa"/>
            </w:tcMar>
          </w:tcPr>
          <w:p>
            <w:pPr>
              <w:spacing w:after="40" w:line="240" w:lineRule="auto"/>
            </w:pPr>
            <w:r>
              <w:rPr>
                <w:b/>
                <w:sz w:val="20"/>
              </w:rPr>
              <w:t>Campo</w:t>
            </w:r>
          </w:p>
        </w:tc>
        <w:tc>
          <w:tcPr>
            <w:tcW w:type="dxa" w:w="7704"/>
            <w:vAlign w:val="center"/>
            <w:shd w:fill="DFE7ED"/>
            <w:tcMar>
              <w:top w:w="90" w:type="dxa"/>
              <w:left w:w="90" w:type="dxa"/>
              <w:bottom w:w="90" w:type="dxa"/>
              <w:right w:w="90" w:type="dxa"/>
            </w:tcMar>
          </w:tcPr>
          <w:p>
            <w:pPr>
              <w:spacing w:after="40" w:line="240" w:lineRule="auto"/>
            </w:pPr>
            <w:r>
              <w:rPr>
                <w:b/>
                <w:sz w:val="20"/>
              </w:rPr>
              <w:t>Conteúdo exigido</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Identidade</w:t>
            </w:r>
          </w:p>
        </w:tc>
        <w:tc>
          <w:tcPr>
            <w:tcW w:type="dxa" w:w="7704"/>
            <w:vAlign w:val="center"/>
            <w:shd w:fill="FFFFFF"/>
            <w:tcMar>
              <w:top w:w="90" w:type="dxa"/>
              <w:left w:w="90" w:type="dxa"/>
              <w:bottom w:w="90" w:type="dxa"/>
              <w:right w:w="90" w:type="dxa"/>
            </w:tcMar>
          </w:tcPr>
          <w:p>
            <w:pPr>
              <w:spacing w:after="40" w:line="240" w:lineRule="auto"/>
            </w:pPr>
            <w:r>
              <w:rPr>
                <w:b w:val="0"/>
                <w:sz w:val="20"/>
              </w:rPr>
              <w:t>advice_id, producer_id, purpose, rule_id, rule_version</w:t>
            </w:r>
          </w:p>
        </w:tc>
      </w:tr>
      <w:tr>
        <w:trPr>
          <w:cantSplit/>
        </w:trPr>
        <w:tc>
          <w:tcPr>
            <w:tcW w:type="dxa" w:w="2232"/>
            <w:vAlign w:val="center"/>
            <w:shd w:fill="F5F7F9"/>
            <w:tcMar>
              <w:top w:w="90" w:type="dxa"/>
              <w:left w:w="90" w:type="dxa"/>
              <w:bottom w:w="90" w:type="dxa"/>
              <w:right w:w="90" w:type="dxa"/>
            </w:tcMar>
          </w:tcPr>
          <w:p>
            <w:pPr>
              <w:spacing w:after="40" w:line="240" w:lineRule="auto"/>
            </w:pPr>
            <w:r>
              <w:rPr>
                <w:b w:val="0"/>
                <w:sz w:val="20"/>
              </w:rPr>
              <w:t>Tempo</w:t>
            </w:r>
          </w:p>
        </w:tc>
        <w:tc>
          <w:tcPr>
            <w:tcW w:type="dxa" w:w="7704"/>
            <w:vAlign w:val="center"/>
            <w:shd w:fill="F5F7F9"/>
            <w:tcMar>
              <w:top w:w="90" w:type="dxa"/>
              <w:left w:w="90" w:type="dxa"/>
              <w:bottom w:w="90" w:type="dxa"/>
              <w:right w:w="90" w:type="dxa"/>
            </w:tcMar>
          </w:tcPr>
          <w:p>
            <w:pPr>
              <w:spacing w:after="40" w:line="240" w:lineRule="auto"/>
            </w:pPr>
            <w:r>
              <w:rPr>
                <w:b w:val="0"/>
                <w:sz w:val="20"/>
              </w:rPr>
              <w:t>generated_at, valid_from, valid_until e fuso operacional</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Evidência</w:t>
            </w:r>
          </w:p>
        </w:tc>
        <w:tc>
          <w:tcPr>
            <w:tcW w:type="dxa" w:w="7704"/>
            <w:vAlign w:val="center"/>
            <w:shd w:fill="FFFFFF"/>
            <w:tcMar>
              <w:top w:w="90" w:type="dxa"/>
              <w:left w:w="90" w:type="dxa"/>
              <w:bottom w:w="90" w:type="dxa"/>
              <w:right w:w="90" w:type="dxa"/>
            </w:tcMar>
          </w:tcPr>
          <w:p>
            <w:pPr>
              <w:spacing w:after="40" w:line="240" w:lineRule="auto"/>
            </w:pPr>
            <w:r>
              <w:rPr>
                <w:b w:val="0"/>
                <w:sz w:val="20"/>
              </w:rPr>
              <w:t>snapshot_id, referências dos registros, fonte e emissão do clima</w:t>
            </w:r>
          </w:p>
        </w:tc>
      </w:tr>
      <w:tr>
        <w:trPr>
          <w:cantSplit/>
        </w:trPr>
        <w:tc>
          <w:tcPr>
            <w:tcW w:type="dxa" w:w="2232"/>
            <w:vAlign w:val="center"/>
            <w:shd w:fill="F5F7F9"/>
            <w:tcMar>
              <w:top w:w="90" w:type="dxa"/>
              <w:left w:w="90" w:type="dxa"/>
              <w:bottom w:w="90" w:type="dxa"/>
              <w:right w:w="90" w:type="dxa"/>
            </w:tcMar>
          </w:tcPr>
          <w:p>
            <w:pPr>
              <w:spacing w:after="40" w:line="240" w:lineRule="auto"/>
            </w:pPr>
            <w:r>
              <w:rPr>
                <w:b w:val="0"/>
                <w:sz w:val="20"/>
              </w:rPr>
              <w:t>Estimativa</w:t>
            </w:r>
          </w:p>
        </w:tc>
        <w:tc>
          <w:tcPr>
            <w:tcW w:type="dxa" w:w="7704"/>
            <w:vAlign w:val="center"/>
            <w:shd w:fill="F5F7F9"/>
            <w:tcMar>
              <w:top w:w="90" w:type="dxa"/>
              <w:left w:w="90" w:type="dxa"/>
              <w:bottom w:w="90" w:type="dxa"/>
              <w:right w:w="90" w:type="dxa"/>
            </w:tcMar>
          </w:tcPr>
          <w:p>
            <w:pPr>
              <w:spacing w:after="40" w:line="240" w:lineRule="auto"/>
            </w:pPr>
            <w:r>
              <w:rPr>
                <w:b w:val="0"/>
                <w:sz w:val="20"/>
              </w:rPr>
              <w:t>Evento, horizonte, valor, unidade, método e intervalo quando válido</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Qualidade</w:t>
            </w:r>
          </w:p>
        </w:tc>
        <w:tc>
          <w:tcPr>
            <w:tcW w:type="dxa" w:w="7704"/>
            <w:vAlign w:val="center"/>
            <w:shd w:fill="FFFFFF"/>
            <w:tcMar>
              <w:top w:w="90" w:type="dxa"/>
              <w:left w:w="90" w:type="dxa"/>
              <w:bottom w:w="90" w:type="dxa"/>
              <w:right w:w="90" w:type="dxa"/>
            </w:tcMar>
          </w:tcPr>
          <w:p>
            <w:pPr>
              <w:spacing w:after="40" w:line="240" w:lineRule="auto"/>
            </w:pPr>
            <w:r>
              <w:rPr>
                <w:b w:val="0"/>
                <w:sz w:val="20"/>
              </w:rPr>
              <w:t>Lacunas, tamanho da amostra, avaliação disponível e restrições</w:t>
            </w:r>
          </w:p>
        </w:tc>
      </w:tr>
      <w:tr>
        <w:trPr>
          <w:cantSplit/>
        </w:trPr>
        <w:tc>
          <w:tcPr>
            <w:tcW w:type="dxa" w:w="2232"/>
            <w:vAlign w:val="center"/>
            <w:shd w:fill="F5F7F9"/>
            <w:tcMar>
              <w:top w:w="90" w:type="dxa"/>
              <w:left w:w="90" w:type="dxa"/>
              <w:bottom w:w="90" w:type="dxa"/>
              <w:right w:w="90" w:type="dxa"/>
            </w:tcMar>
          </w:tcPr>
          <w:p>
            <w:pPr>
              <w:spacing w:after="40" w:line="240" w:lineRule="auto"/>
            </w:pPr>
            <w:r>
              <w:rPr>
                <w:b w:val="0"/>
                <w:sz w:val="20"/>
              </w:rPr>
              <w:t>Decisão</w:t>
            </w:r>
          </w:p>
        </w:tc>
        <w:tc>
          <w:tcPr>
            <w:tcW w:type="dxa" w:w="7704"/>
            <w:vAlign w:val="center"/>
            <w:shd w:fill="F5F7F9"/>
            <w:tcMar>
              <w:top w:w="90" w:type="dxa"/>
              <w:left w:w="90" w:type="dxa"/>
              <w:bottom w:w="90" w:type="dxa"/>
              <w:right w:w="90" w:type="dxa"/>
            </w:tcMar>
          </w:tcPr>
          <w:p>
            <w:pPr>
              <w:spacing w:after="40" w:line="240" w:lineRule="auto"/>
            </w:pPr>
            <w:r>
              <w:rPr>
                <w:b w:val="0"/>
                <w:sz w:val="20"/>
              </w:rPr>
              <w:t>Ação sugerida, alternativa, benefício incremental e risco relevante</w:t>
            </w:r>
          </w:p>
        </w:tc>
      </w:tr>
      <w:tr>
        <w:trPr>
          <w:cantSplit/>
        </w:trPr>
        <w:tc>
          <w:tcPr>
            <w:tcW w:type="dxa" w:w="2232"/>
            <w:vAlign w:val="center"/>
            <w:shd w:fill="FFFFFF"/>
            <w:tcMar>
              <w:top w:w="90" w:type="dxa"/>
              <w:left w:w="90" w:type="dxa"/>
              <w:bottom w:w="90" w:type="dxa"/>
              <w:right w:w="90" w:type="dxa"/>
            </w:tcMar>
          </w:tcPr>
          <w:p>
            <w:pPr>
              <w:spacing w:after="40" w:line="240" w:lineRule="auto"/>
            </w:pPr>
            <w:r>
              <w:rPr>
                <w:b w:val="0"/>
                <w:sz w:val="20"/>
              </w:rPr>
              <w:t>Controle</w:t>
            </w:r>
          </w:p>
        </w:tc>
        <w:tc>
          <w:tcPr>
            <w:tcW w:type="dxa" w:w="7704"/>
            <w:vAlign w:val="center"/>
            <w:shd w:fill="FFFFFF"/>
            <w:tcMar>
              <w:top w:w="90" w:type="dxa"/>
              <w:left w:w="90" w:type="dxa"/>
              <w:bottom w:w="90" w:type="dxa"/>
              <w:right w:w="90" w:type="dxa"/>
            </w:tcMar>
          </w:tcPr>
          <w:p>
            <w:pPr>
              <w:spacing w:after="40" w:line="240" w:lineRule="auto"/>
            </w:pPr>
            <w:r>
              <w:rPr>
                <w:b w:val="0"/>
                <w:sz w:val="20"/>
              </w:rPr>
              <w:t>requires_user_action, status e chave de deduplicação</w:t>
            </w:r>
          </w:p>
        </w:tc>
      </w:tr>
    </w:tbl>
    <w:p>
      <w:pPr>
        <w:pStyle w:val="BodyText"/>
        <w:widowControl/>
      </w:pPr>
      <w:r>
        <w:t xml:space="preserve">Valores não estimáveis devem ser nulos com motivo, não zero ou porcentagem inventada. A probabilidade do evento e a qualidade da evidência são campos separados. Se não houver validação suficiente, informar</w:t>
      </w:r>
      <w:r>
        <w:t xml:space="preserve"> </w:t>
      </w:r>
      <w:r>
        <w:t xml:space="preserve">“</w:t>
      </w:r>
      <w:r>
        <w:t xml:space="preserve">estimativa exploratória</w:t>
      </w:r>
      <w:r>
        <w:t xml:space="preserve">”</w:t>
      </w:r>
      <w:r>
        <w:t xml:space="preserve"> </w:t>
      </w:r>
      <w:r>
        <w:t xml:space="preserve">ou</w:t>
      </w:r>
      <w:r>
        <w:t xml:space="preserve"> </w:t>
      </w:r>
      <w:r>
        <w:t xml:space="preserve">“</w:t>
      </w:r>
      <w:r>
        <w:t xml:space="preserve">dados insuficientes</w:t>
      </w:r>
      <w:r>
        <w:t xml:space="preserve">”</w:t>
      </w:r>
      <w:r>
        <w:t xml:space="preserve">, com a razão concreta.</w:t>
      </w:r>
    </w:p>
    <w:p>
      <w:pPr>
        <w:pStyle w:val="BodyText"/>
        <w:widowControl/>
      </w:pPr>
      <w:r>
        <w:t xml:space="preserve">Na tela, mostrar primeiro uma ação e sua justificativa principal; deixar cálculo, histórico e limitações em área expansível. Como política inicial de interface, priorizar até três recomendações relevantes e evitar repetir alertas já vistos, salvo mudança material. Alertas oficiais válidos têm tratamento próprio e não devem ser suprimidos como duplicatas comerciais.</w:t>
      </w:r>
    </w:p>
    <w:p>
      <w:pPr>
        <w:pStyle w:val="BodyText"/>
        <w:widowControl/>
      </w:pPr>
      <w:r>
        <w:rPr>
          <w:bCs/>
          <w:b/>
        </w:rPr>
        <w:t xml:space="preserve">Exemplo fictício de conselho com cenário:</w:t>
      </w:r>
      <w:r>
        <w:t xml:space="preserve"> </w:t>
      </w:r>
      <w:r>
        <w:t xml:space="preserve">“</w:t>
      </w:r>
      <w:r>
        <w:t xml:space="preserve">Para a próxima feira, simule levar 18 a 24 unidades. Nas operações comparáveis você vendeu perto de 20. Ainda não há histórico suficiente para estimar o efeito da chuva nas suas vendas. Confira as encomendas antes de definir a quantidade.</w:t>
      </w:r>
      <w:r>
        <w:t xml:space="preserve">”</w:t>
      </w:r>
      <w:r>
        <w:t xml:space="preserve"> </w:t>
      </w:r>
      <w:r>
        <w:t xml:space="preserve">A faixa é hipótese de planejamento, não intervalo probabilístico validado.</w:t>
      </w:r>
    </w:p>
    <w:p>
      <w:pPr>
        <w:pStyle w:val="BodyText"/>
        <w:widowControl/>
      </w:pPr>
      <w:r>
        <w:rPr>
          <w:bCs/>
          <w:b/>
        </w:rPr>
        <w:t xml:space="preserve">Exemplo de dado ausente:</w:t>
      </w:r>
      <w:r>
        <w:t xml:space="preserve"> </w:t>
      </w:r>
      <w:r>
        <w:t xml:space="preserve">“</w:t>
      </w:r>
      <w:r>
        <w:t xml:space="preserve">Você faturou R$ 500 nesta feira. Cadastre o custo dos produtos e as despesas para calcular o resultado.</w:t>
      </w:r>
      <w:r>
        <w:t xml:space="preserve">”</w:t>
      </w:r>
      <w:r>
        <w:t xml:space="preserve"> </w:t>
      </w:r>
      <w:r>
        <w:t xml:space="preserve">Evitar</w:t>
      </w:r>
      <w:r>
        <w:t xml:space="preserve"> </w:t>
      </w:r>
      <w:r>
        <w:t xml:space="preserve">“</w:t>
      </w:r>
      <w:r>
        <w:t xml:space="preserve">você lucrou R$ 500</w:t>
      </w:r>
      <w:r>
        <w:t xml:space="preserve">”</w:t>
      </w:r>
      <w:r>
        <w:t xml:space="preserve"> </w:t>
      </w:r>
      <w:r>
        <w:t xml:space="preserve">e evitar percentuais de confiança sem definição. Apresentar o horário da previsão sempre que ele for material para a ação sugerida.</w:t>
      </w:r>
    </w:p>
    <w:bookmarkEnd w:id="34"/>
    <w:bookmarkStart w:id="35" w:name="implementação-progressiva-no-aplicativo"/>
    <w:p>
      <w:pPr>
        <w:pStyle w:val="Heading1"/>
        <w:keepNext/>
        <w:widowControl/>
      </w:pPr>
      <w:r>
        <w:rPr>
          <w:color w:val="000000"/>
        </w:rPr>
        <w:t xml:space="preserve">15 Implementação progressiva no aplicativo</w:t>
      </w:r>
    </w:p>
    <w:p>
      <w:pPr>
        <w:pStyle w:val="FirstParagraph"/>
        <w:widowControl/>
      </w:pPr>
      <w:r>
        <w:rPr>
          <w:bCs/>
          <w:b/>
        </w:rPr>
        <w:t xml:space="preserve">Etapa inicial:</w:t>
      </w:r>
      <w:r>
        <w:t xml:space="preserve"> </w:t>
      </w:r>
      <w:r>
        <w:t xml:space="preserve">reconciliar fórmulas e regras, reutilizar o adaptador climático, identificar dados fictícios, introduzir rastreabilidade e gerar resumos descritivos. Entregar diagnóstico de duplicidades e as lacunas encontradas. Não condicionar essa etapa a novos serviços externos.</w:t>
      </w:r>
    </w:p>
    <w:p>
      <w:pPr>
        <w:pStyle w:val="BodyText"/>
        <w:widowControl/>
      </w:pPr>
      <w:r>
        <w:rPr>
          <w:bCs/>
          <w:b/>
        </w:rPr>
        <w:t xml:space="preserve">Etapa de apoio operacional:</w:t>
      </w:r>
      <w:r>
        <w:t xml:space="preserve"> </w:t>
      </w:r>
      <w:r>
        <w:t xml:space="preserve">habilitar margem de contribuição, cobertura simples, alertas de validade, cenários de feira e recomendações com regras explícitas. Usar o mesmo estoque e os mesmos comandos transacionais do aplicativo. Preservar o funcionamento sem conexão para cálculos com dados locais, indicando a idade das informações meteorológicas em cache.</w:t>
      </w:r>
    </w:p>
    <w:p>
      <w:pPr>
        <w:pStyle w:val="BodyText"/>
        <w:widowControl/>
      </w:pPr>
      <w:r>
        <w:rPr>
          <w:bCs/>
          <w:b/>
        </w:rPr>
        <w:t xml:space="preserve">Etapa probabilística:</w:t>
      </w:r>
      <w:r>
        <w:t xml:space="preserve"> </w:t>
      </w:r>
      <w:r>
        <w:t xml:space="preserve">ativar modelos de demanda e recompra apenas após validação temporal documentada. Quando o dispositivo não comportar treinamento, manter cálculo local simples ou um artefato de modelo compatível com a arquitetura existente. Não presumir servidor, conta paga, biblioteca específica ou disponibilidade permanente de internet.</w:t>
      </w:r>
    </w:p>
    <w:p>
      <w:pPr>
        <w:pStyle w:val="BodyText"/>
        <w:widowControl/>
      </w:pPr>
      <w:r>
        <w:rPr>
          <w:bCs/>
          <w:b/>
        </w:rPr>
        <w:t xml:space="preserve">Etapa avançada:</w:t>
      </w:r>
      <w:r>
        <w:t xml:space="preserve"> </w:t>
      </w:r>
      <w:r>
        <w:t xml:space="preserve">avaliar simulação conjunta, quantis de reposição e otimização sob restrições. Usar ativação gradual, comparação com referência e reversão. O módulo hídrico só deve ser liberado com dados e validação próprios.</w:t>
      </w:r>
    </w:p>
    <w:p>
      <w:pPr>
        <w:pStyle w:val="BodyText"/>
        <w:widowControl/>
      </w:pPr>
      <w:r>
        <w:t xml:space="preserve">A solução deve separar adaptadores de dados, funções de cálculo, avaliação de políticas, armazenamento de evidências e explicação. Aproveitar as camadas equivalentes já existentes. Se o aplicativo tiver um Gerente ou agentes especialistas, o conselho deve convergir para uma saída consistente, sem criar abas e motores redundantes.</w:t>
      </w:r>
    </w:p>
    <w:p>
      <w:pPr>
        <w:pStyle w:val="BodyText"/>
        <w:widowControl/>
      </w:pPr>
      <w:r>
        <w:t xml:space="preserve">Alterações em venda, estoque, compra e cadastro devem passar pelos fluxos normais, com integridade e idempotência. A recomendação pode abrir um rascunho de ação para o produtor revisar, mas não efetivar uma compra ou baixa apenas por ter detectado risco.</w:t>
      </w:r>
    </w:p>
    <w:bookmarkEnd w:id="35"/>
    <w:bookmarkStart w:id="36" w:name="casos-de-teste-e-entrega-ao-codex"/>
    <w:p>
      <w:pPr>
        <w:pStyle w:val="Heading1"/>
        <w:keepNext/>
        <w:widowControl/>
      </w:pPr>
      <w:r>
        <w:rPr>
          <w:color w:val="000000"/>
        </w:rPr>
        <w:t xml:space="preserve">16 Casos de teste e entrega ao Codex</w:t>
      </w:r>
    </w:p>
    <w:p>
      <w:pPr>
        <w:pStyle w:val="FirstParagraph"/>
        <w:widowControl/>
      </w:pPr>
      <w:r>
        <w:t xml:space="preserve">Os valores abaixo são fictícios e servem como oráculos determinísticos. Não devem entrar na base real do produtor.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320"/>
      </w:tblGrid>
      <w:tr>
        <w:trPr>
          <w:cantSplit/>
          <w:tblHeader/>
        </w:trPr>
        <w:tc>
          <w:tcPr>
            <w:tcW w:type="dxa" w:w="1728"/>
            <w:vAlign w:val="center"/>
            <w:shd w:fill="DFE7ED"/>
            <w:tcMar>
              <w:top w:w="90" w:type="dxa"/>
              <w:left w:w="90" w:type="dxa"/>
              <w:bottom w:w="90" w:type="dxa"/>
              <w:right w:w="90" w:type="dxa"/>
            </w:tcMar>
          </w:tcPr>
          <w:p>
            <w:pPr>
              <w:spacing w:after="40" w:line="240" w:lineRule="auto"/>
            </w:pPr>
            <w:r>
              <w:rPr>
                <w:b/>
                <w:sz w:val="20"/>
              </w:rPr>
              <w:t>Caso</w:t>
            </w:r>
          </w:p>
        </w:tc>
        <w:tc>
          <w:tcPr>
            <w:tcW w:type="dxa" w:w="3888"/>
            <w:vAlign w:val="center"/>
            <w:shd w:fill="DFE7ED"/>
            <w:tcMar>
              <w:top w:w="90" w:type="dxa"/>
              <w:left w:w="90" w:type="dxa"/>
              <w:bottom w:w="90" w:type="dxa"/>
              <w:right w:w="90" w:type="dxa"/>
            </w:tcMar>
          </w:tcPr>
          <w:p>
            <w:pPr>
              <w:spacing w:after="40" w:line="240" w:lineRule="auto"/>
            </w:pPr>
            <w:r>
              <w:rPr>
                <w:b/>
                <w:sz w:val="20"/>
              </w:rPr>
              <w:t>Entrada ou condição</w:t>
            </w:r>
          </w:p>
        </w:tc>
        <w:tc>
          <w:tcPr>
            <w:tcW w:type="dxa" w:w="4320"/>
            <w:vAlign w:val="center"/>
            <w:shd w:fill="DFE7ED"/>
            <w:tcMar>
              <w:top w:w="90" w:type="dxa"/>
              <w:left w:w="90" w:type="dxa"/>
              <w:bottom w:w="90" w:type="dxa"/>
              <w:right w:w="90" w:type="dxa"/>
            </w:tcMar>
          </w:tcPr>
          <w:p>
            <w:pPr>
              <w:spacing w:after="40" w:line="240" w:lineRule="auto"/>
            </w:pPr>
            <w:r>
              <w:rPr>
                <w:b/>
                <w:sz w:val="20"/>
              </w:rPr>
              <w:t>Resultado obrigatório</w:t>
            </w:r>
          </w:p>
        </w:tc>
      </w:tr>
      <w:tr>
        <w:trPr>
          <w:cantSplit/>
        </w:trPr>
        <w:tc>
          <w:tcPr>
            <w:tcW w:type="dxa" w:w="1728"/>
            <w:vAlign w:val="center"/>
            <w:shd w:fill="FFFFFF"/>
            <w:tcMar>
              <w:top w:w="90" w:type="dxa"/>
              <w:left w:w="90" w:type="dxa"/>
              <w:bottom w:w="90" w:type="dxa"/>
              <w:right w:w="90" w:type="dxa"/>
            </w:tcMar>
          </w:tcPr>
          <w:p>
            <w:pPr>
              <w:spacing w:after="40" w:line="240" w:lineRule="auto"/>
            </w:pPr>
            <w:r>
              <w:rPr>
                <w:b w:val="0"/>
                <w:sz w:val="20"/>
              </w:rPr>
              <w:t>Estoque</w:t>
            </w:r>
          </w:p>
        </w:tc>
        <w:tc>
          <w:tcPr>
            <w:tcW w:type="dxa" w:w="3888"/>
            <w:vAlign w:val="center"/>
            <w:shd w:fill="FFFFFF"/>
            <w:tcMar>
              <w:top w:w="90" w:type="dxa"/>
              <w:left w:w="90" w:type="dxa"/>
              <w:bottom w:w="90" w:type="dxa"/>
              <w:right w:w="90" w:type="dxa"/>
            </w:tcMar>
          </w:tcPr>
          <w:p>
            <w:pPr>
              <w:spacing w:after="40" w:line="240" w:lineRule="auto"/>
            </w:pPr>
            <w:r>
              <w:rPr>
                <w:b w:val="0"/>
                <w:sz w:val="20"/>
              </w:rPr>
              <w:t>100 físicos, 10 reservados e 5 bloqueados sem sobreposição</w:t>
            </w:r>
          </w:p>
        </w:tc>
        <w:tc>
          <w:tcPr>
            <w:tcW w:type="dxa" w:w="4320"/>
            <w:vAlign w:val="center"/>
            <w:shd w:fill="FFFFFF"/>
            <w:tcMar>
              <w:top w:w="90" w:type="dxa"/>
              <w:left w:w="90" w:type="dxa"/>
              <w:bottom w:w="90" w:type="dxa"/>
              <w:right w:w="90" w:type="dxa"/>
            </w:tcMar>
          </w:tcPr>
          <w:p>
            <w:pPr>
              <w:spacing w:after="40" w:line="240" w:lineRule="auto"/>
            </w:pPr>
            <w:r>
              <w:rPr>
                <w:b w:val="0"/>
                <w:sz w:val="20"/>
              </w:rPr>
              <w:t>85 vendáveis</w:t>
            </w:r>
          </w:p>
        </w:tc>
      </w:tr>
      <w:tr>
        <w:trPr>
          <w:cantSplit/>
        </w:trPr>
        <w:tc>
          <w:tcPr>
            <w:tcW w:type="dxa" w:w="1728"/>
            <w:vAlign w:val="center"/>
            <w:shd w:fill="F5F7F9"/>
            <w:tcMar>
              <w:top w:w="90" w:type="dxa"/>
              <w:left w:w="90" w:type="dxa"/>
              <w:bottom w:w="90" w:type="dxa"/>
              <w:right w:w="90" w:type="dxa"/>
            </w:tcMar>
          </w:tcPr>
          <w:p>
            <w:pPr>
              <w:spacing w:after="40" w:line="240" w:lineRule="auto"/>
            </w:pPr>
            <w:r>
              <w:rPr>
                <w:b w:val="0"/>
                <w:sz w:val="20"/>
              </w:rPr>
              <w:t>Margem</w:t>
            </w:r>
          </w:p>
        </w:tc>
        <w:tc>
          <w:tcPr>
            <w:tcW w:type="dxa" w:w="3888"/>
            <w:vAlign w:val="center"/>
            <w:shd w:fill="F5F7F9"/>
            <w:tcMar>
              <w:top w:w="90" w:type="dxa"/>
              <w:left w:w="90" w:type="dxa"/>
              <w:bottom w:w="90" w:type="dxa"/>
              <w:right w:w="90" w:type="dxa"/>
            </w:tcMar>
          </w:tcPr>
          <w:p>
            <w:pPr>
              <w:spacing w:after="40" w:line="240" w:lineRule="auto"/>
            </w:pPr>
            <w:r>
              <w:rPr>
                <w:b w:val="0"/>
                <w:sz w:val="20"/>
              </w:rPr>
              <w:t>Receita de 100, CMV de 60 e despesa variável adicional de 10</w:t>
            </w:r>
          </w:p>
        </w:tc>
        <w:tc>
          <w:tcPr>
            <w:tcW w:type="dxa" w:w="4320"/>
            <w:vAlign w:val="center"/>
            <w:shd w:fill="F5F7F9"/>
            <w:tcMar>
              <w:top w:w="90" w:type="dxa"/>
              <w:left w:w="90" w:type="dxa"/>
              <w:bottom w:w="90" w:type="dxa"/>
              <w:right w:w="90" w:type="dxa"/>
            </w:tcMar>
          </w:tcPr>
          <w:p>
            <w:pPr>
              <w:spacing w:after="40" w:line="240" w:lineRule="auto"/>
            </w:pPr>
            <w:r>
              <w:rPr>
                <w:b w:val="0"/>
                <w:sz w:val="20"/>
              </w:rPr>
              <w:t>Contribuição de 30; percentual de 30%</w:t>
            </w:r>
          </w:p>
        </w:tc>
      </w:tr>
      <w:tr>
        <w:trPr>
          <w:cantSplit/>
        </w:trPr>
        <w:tc>
          <w:tcPr>
            <w:tcW w:type="dxa" w:w="1728"/>
            <w:vAlign w:val="center"/>
            <w:shd w:fill="FFFFFF"/>
            <w:tcMar>
              <w:top w:w="90" w:type="dxa"/>
              <w:left w:w="90" w:type="dxa"/>
              <w:bottom w:w="90" w:type="dxa"/>
              <w:right w:w="90" w:type="dxa"/>
            </w:tcMar>
          </w:tcPr>
          <w:p>
            <w:pPr>
              <w:spacing w:after="40" w:line="240" w:lineRule="auto"/>
            </w:pPr>
            <w:r>
              <w:rPr>
                <w:b w:val="0"/>
                <w:sz w:val="20"/>
              </w:rPr>
              <w:t>Preço</w:t>
            </w:r>
          </w:p>
        </w:tc>
        <w:tc>
          <w:tcPr>
            <w:tcW w:type="dxa" w:w="3888"/>
            <w:vAlign w:val="center"/>
            <w:shd w:fill="FFFFFF"/>
            <w:tcMar>
              <w:top w:w="90" w:type="dxa"/>
              <w:left w:w="90" w:type="dxa"/>
              <w:bottom w:w="90" w:type="dxa"/>
              <w:right w:w="90" w:type="dxa"/>
            </w:tcMar>
          </w:tcPr>
          <w:p>
            <w:pPr>
              <w:spacing w:after="40" w:line="240" w:lineRule="auto"/>
            </w:pPr>
            <w:r>
              <w:rPr>
                <w:b w:val="0"/>
                <w:sz w:val="20"/>
              </w:rPr>
              <w:t>Custo unitário 10, taxa de 10% e contribuição alvo de 20% do bruto</w:t>
            </w:r>
          </w:p>
        </w:tc>
        <w:tc>
          <w:tcPr>
            <w:tcW w:type="dxa" w:w="4320"/>
            <w:vAlign w:val="center"/>
            <w:shd w:fill="FFFFFF"/>
            <w:tcMar>
              <w:top w:w="90" w:type="dxa"/>
              <w:left w:w="90" w:type="dxa"/>
              <w:bottom w:w="90" w:type="dxa"/>
              <w:right w:w="90" w:type="dxa"/>
            </w:tcMar>
          </w:tcPr>
          <w:p>
            <w:pPr>
              <w:spacing w:after="40" w:line="240" w:lineRule="auto"/>
            </w:pPr>
            <w:r>
              <w:rPr>
                <w:b w:val="0"/>
                <w:sz w:val="20"/>
              </w:rPr>
              <w:t>Preço teórico 14,2857; validar arredondamento comercial</w:t>
            </w:r>
          </w:p>
        </w:tc>
      </w:tr>
      <w:tr>
        <w:trPr>
          <w:cantSplit/>
        </w:trPr>
        <w:tc>
          <w:tcPr>
            <w:tcW w:type="dxa" w:w="1728"/>
            <w:vAlign w:val="center"/>
            <w:shd w:fill="F5F7F9"/>
            <w:tcMar>
              <w:top w:w="90" w:type="dxa"/>
              <w:left w:w="90" w:type="dxa"/>
              <w:bottom w:w="90" w:type="dxa"/>
              <w:right w:w="90" w:type="dxa"/>
            </w:tcMar>
          </w:tcPr>
          <w:p>
            <w:pPr>
              <w:spacing w:after="40" w:line="240" w:lineRule="auto"/>
            </w:pPr>
            <w:r>
              <w:rPr>
                <w:b w:val="0"/>
                <w:sz w:val="20"/>
              </w:rPr>
              <w:t>Proteção</w:t>
            </w:r>
          </w:p>
        </w:tc>
        <w:tc>
          <w:tcPr>
            <w:tcW w:type="dxa" w:w="3888"/>
            <w:vAlign w:val="center"/>
            <w:shd w:fill="F5F7F9"/>
            <w:tcMar>
              <w:top w:w="90" w:type="dxa"/>
              <w:left w:w="90" w:type="dxa"/>
              <w:bottom w:w="90" w:type="dxa"/>
              <w:right w:w="90" w:type="dxa"/>
            </w:tcMar>
          </w:tcPr>
          <w:p>
            <w:pPr>
              <w:spacing w:after="40" w:line="240" w:lineRule="auto"/>
            </w:pPr>
            <w:r>
              <w:rPr>
                <w:b w:val="0"/>
                <w:sz w:val="20"/>
              </w:rPr>
              <w:t>Chance do evento danoso 40%, dano evitado 200 e custo 30</w:t>
            </w:r>
          </w:p>
        </w:tc>
        <w:tc>
          <w:tcPr>
            <w:tcW w:type="dxa" w:w="4320"/>
            <w:vAlign w:val="center"/>
            <w:shd w:fill="F5F7F9"/>
            <w:tcMar>
              <w:top w:w="90" w:type="dxa"/>
              <w:left w:w="90" w:type="dxa"/>
              <w:bottom w:w="90" w:type="dxa"/>
              <w:right w:w="90" w:type="dxa"/>
            </w:tcMar>
          </w:tcPr>
          <w:p>
            <w:pPr>
              <w:spacing w:after="40" w:line="240" w:lineRule="auto"/>
            </w:pPr>
            <w:r>
              <w:rPr>
                <w:b w:val="0"/>
                <w:sz w:val="20"/>
              </w:rPr>
              <w:t>Benefício líquido esperado de 50</w:t>
            </w:r>
          </w:p>
        </w:tc>
      </w:tr>
      <w:tr>
        <w:trPr>
          <w:cantSplit/>
        </w:trPr>
        <w:tc>
          <w:tcPr>
            <w:tcW w:type="dxa" w:w="1728"/>
            <w:vAlign w:val="center"/>
            <w:shd w:fill="FFFFFF"/>
            <w:tcMar>
              <w:top w:w="90" w:type="dxa"/>
              <w:left w:w="90" w:type="dxa"/>
              <w:bottom w:w="90" w:type="dxa"/>
              <w:right w:w="90" w:type="dxa"/>
            </w:tcMar>
          </w:tcPr>
          <w:p>
            <w:pPr>
              <w:spacing w:after="40" w:line="240" w:lineRule="auto"/>
            </w:pPr>
            <w:r>
              <w:rPr>
                <w:b w:val="0"/>
                <w:sz w:val="20"/>
              </w:rPr>
              <w:t>Água</w:t>
            </w:r>
          </w:p>
        </w:tc>
        <w:tc>
          <w:tcPr>
            <w:tcW w:type="dxa" w:w="3888"/>
            <w:vAlign w:val="center"/>
            <w:shd w:fill="FFFFFF"/>
            <w:tcMar>
              <w:top w:w="90" w:type="dxa"/>
              <w:left w:w="90" w:type="dxa"/>
              <w:bottom w:w="90" w:type="dxa"/>
              <w:right w:w="90" w:type="dxa"/>
            </w:tcMar>
          </w:tcPr>
          <w:p>
            <w:pPr>
              <w:spacing w:after="40" w:line="240" w:lineRule="auto"/>
            </w:pPr>
            <w:r>
              <w:rPr>
                <w:b w:val="0"/>
                <w:sz w:val="20"/>
              </w:rPr>
              <w:t>1 ha, 5 mm líquidos e eficiência 0,8</w:t>
            </w:r>
          </w:p>
        </w:tc>
        <w:tc>
          <w:tcPr>
            <w:tcW w:type="dxa" w:w="4320"/>
            <w:vAlign w:val="center"/>
            <w:shd w:fill="FFFFFF"/>
            <w:tcMar>
              <w:top w:w="90" w:type="dxa"/>
              <w:left w:w="90" w:type="dxa"/>
              <w:bottom w:w="90" w:type="dxa"/>
              <w:right w:w="90" w:type="dxa"/>
            </w:tcMar>
          </w:tcPr>
          <w:p>
            <w:pPr>
              <w:spacing w:after="40" w:line="240" w:lineRule="auto"/>
            </w:pPr>
            <w:r>
              <w:rPr>
                <w:b w:val="0"/>
                <w:sz w:val="20"/>
              </w:rPr>
              <w:t>62,5 m³ brutos</w:t>
            </w:r>
          </w:p>
        </w:tc>
      </w:tr>
      <w:tr>
        <w:trPr>
          <w:cantSplit/>
        </w:trPr>
        <w:tc>
          <w:tcPr>
            <w:tcW w:type="dxa" w:w="1728"/>
            <w:vAlign w:val="center"/>
            <w:shd w:fill="F5F7F9"/>
            <w:tcMar>
              <w:top w:w="90" w:type="dxa"/>
              <w:left w:w="90" w:type="dxa"/>
              <w:bottom w:w="90" w:type="dxa"/>
              <w:right w:w="90" w:type="dxa"/>
            </w:tcMar>
          </w:tcPr>
          <w:p>
            <w:pPr>
              <w:spacing w:after="40" w:line="240" w:lineRule="auto"/>
            </w:pPr>
            <w:r>
              <w:rPr>
                <w:b w:val="0"/>
                <w:sz w:val="20"/>
              </w:rPr>
              <w:t>Jornaleiro</w:t>
            </w:r>
          </w:p>
        </w:tc>
        <w:tc>
          <w:tcPr>
            <w:tcW w:type="dxa" w:w="3888"/>
            <w:vAlign w:val="center"/>
            <w:shd w:fill="F5F7F9"/>
            <w:tcMar>
              <w:top w:w="90" w:type="dxa"/>
              <w:left w:w="90" w:type="dxa"/>
              <w:bottom w:w="90" w:type="dxa"/>
              <w:right w:w="90" w:type="dxa"/>
            </w:tcMar>
          </w:tcPr>
          <w:p>
            <w:pPr>
              <w:spacing w:after="40" w:line="240" w:lineRule="auto"/>
            </w:pPr>
            <w:r>
              <w:rPr>
                <w:b w:val="0"/>
                <w:sz w:val="20"/>
              </w:rPr>
              <w:t>Preço líquido 25, custo 15 e residual 5</w:t>
            </w:r>
          </w:p>
        </w:tc>
        <w:tc>
          <w:tcPr>
            <w:tcW w:type="dxa" w:w="4320"/>
            <w:vAlign w:val="center"/>
            <w:shd w:fill="F5F7F9"/>
            <w:tcMar>
              <w:top w:w="90" w:type="dxa"/>
              <w:left w:w="90" w:type="dxa"/>
              <w:bottom w:w="90" w:type="dxa"/>
              <w:right w:w="90" w:type="dxa"/>
            </w:tcMar>
          </w:tcPr>
          <w:p>
            <w:pPr>
              <w:spacing w:after="40" w:line="240" w:lineRule="auto"/>
            </w:pPr>
            <w:r>
              <w:rPr>
                <w:b w:val="0"/>
                <w:sz w:val="20"/>
              </w:rPr>
              <w:t>Quantil alvo de 50%; quantidade depende de F</w:t>
            </w:r>
          </w:p>
        </w:tc>
      </w:tr>
      <w:tr>
        <w:trPr>
          <w:cantSplit/>
        </w:trPr>
        <w:tc>
          <w:tcPr>
            <w:tcW w:type="dxa" w:w="1728"/>
            <w:vAlign w:val="center"/>
            <w:shd w:fill="FFFFFF"/>
            <w:tcMar>
              <w:top w:w="90" w:type="dxa"/>
              <w:left w:w="90" w:type="dxa"/>
              <w:bottom w:w="90" w:type="dxa"/>
              <w:right w:w="90" w:type="dxa"/>
            </w:tcMar>
          </w:tcPr>
          <w:p>
            <w:pPr>
              <w:spacing w:after="40" w:line="240" w:lineRule="auto"/>
            </w:pPr>
            <w:r>
              <w:rPr>
                <w:b w:val="0"/>
                <w:sz w:val="20"/>
              </w:rPr>
              <w:t>Nulo</w:t>
            </w:r>
          </w:p>
        </w:tc>
        <w:tc>
          <w:tcPr>
            <w:tcW w:type="dxa" w:w="3888"/>
            <w:vAlign w:val="center"/>
            <w:shd w:fill="FFFFFF"/>
            <w:tcMar>
              <w:top w:w="90" w:type="dxa"/>
              <w:left w:w="90" w:type="dxa"/>
              <w:bottom w:w="90" w:type="dxa"/>
              <w:right w:w="90" w:type="dxa"/>
            </w:tcMar>
          </w:tcPr>
          <w:p>
            <w:pPr>
              <w:spacing w:after="40" w:line="240" w:lineRule="auto"/>
            </w:pPr>
            <w:r>
              <w:rPr>
                <w:b w:val="0"/>
                <w:sz w:val="20"/>
              </w:rPr>
              <w:t>Nenhuma venda elegível</w:t>
            </w:r>
          </w:p>
        </w:tc>
        <w:tc>
          <w:tcPr>
            <w:tcW w:type="dxa" w:w="4320"/>
            <w:vAlign w:val="center"/>
            <w:shd w:fill="FFFFFF"/>
            <w:tcMar>
              <w:top w:w="90" w:type="dxa"/>
              <w:left w:w="90" w:type="dxa"/>
              <w:bottom w:w="90" w:type="dxa"/>
              <w:right w:w="90" w:type="dxa"/>
            </w:tcMar>
          </w:tcPr>
          <w:p>
            <w:pPr>
              <w:spacing w:after="40" w:line="240" w:lineRule="auto"/>
            </w:pPr>
            <w:r>
              <w:rPr>
                <w:b w:val="0"/>
                <w:sz w:val="20"/>
              </w:rPr>
              <w:t>Ticket nulo com motivo; sem divisão por zero</w:t>
            </w:r>
          </w:p>
        </w:tc>
      </w:tr>
      <w:tr>
        <w:trPr>
          <w:cantSplit/>
        </w:trPr>
        <w:tc>
          <w:tcPr>
            <w:tcW w:type="dxa" w:w="1728"/>
            <w:vAlign w:val="center"/>
            <w:shd w:fill="F5F7F9"/>
            <w:tcMar>
              <w:top w:w="90" w:type="dxa"/>
              <w:left w:w="90" w:type="dxa"/>
              <w:bottom w:w="90" w:type="dxa"/>
              <w:right w:w="90" w:type="dxa"/>
            </w:tcMar>
          </w:tcPr>
          <w:p>
            <w:pPr>
              <w:spacing w:after="40" w:line="240" w:lineRule="auto"/>
            </w:pPr>
            <w:r>
              <w:rPr>
                <w:b w:val="0"/>
                <w:sz w:val="20"/>
              </w:rPr>
              <w:t>Clima</w:t>
            </w:r>
          </w:p>
        </w:tc>
        <w:tc>
          <w:tcPr>
            <w:tcW w:type="dxa" w:w="3888"/>
            <w:vAlign w:val="center"/>
            <w:shd w:fill="F5F7F9"/>
            <w:tcMar>
              <w:top w:w="90" w:type="dxa"/>
              <w:left w:w="90" w:type="dxa"/>
              <w:bottom w:w="90" w:type="dxa"/>
              <w:right w:w="90" w:type="dxa"/>
            </w:tcMar>
          </w:tcPr>
          <w:p>
            <w:pPr>
              <w:spacing w:after="40" w:line="240" w:lineRule="auto"/>
            </w:pPr>
            <w:r>
              <w:rPr>
                <w:b w:val="0"/>
                <w:sz w:val="20"/>
              </w:rPr>
              <w:t>Duas horas com 60% e 60%, sem dependência conhecida</w:t>
            </w:r>
          </w:p>
        </w:tc>
        <w:tc>
          <w:tcPr>
            <w:tcW w:type="dxa" w:w="4320"/>
            <w:vAlign w:val="center"/>
            <w:shd w:fill="F5F7F9"/>
            <w:tcMar>
              <w:top w:w="90" w:type="dxa"/>
              <w:left w:w="90" w:type="dxa"/>
              <w:bottom w:w="90" w:type="dxa"/>
              <w:right w:w="90" w:type="dxa"/>
            </w:tcMar>
          </w:tcPr>
          <w:p>
            <w:pPr>
              <w:spacing w:after="40" w:line="240" w:lineRule="auto"/>
            </w:pPr>
            <w:r>
              <w:rPr>
                <w:b w:val="0"/>
                <w:sz w:val="20"/>
              </w:rPr>
              <w:t>Não apresentar soma de 120% ou união de 84%</w:t>
            </w:r>
          </w:p>
        </w:tc>
      </w:tr>
      <w:tr>
        <w:trPr>
          <w:cantSplit/>
        </w:trPr>
        <w:tc>
          <w:tcPr>
            <w:tcW w:type="dxa" w:w="1728"/>
            <w:vAlign w:val="center"/>
            <w:shd w:fill="FFFFFF"/>
            <w:tcMar>
              <w:top w:w="90" w:type="dxa"/>
              <w:left w:w="90" w:type="dxa"/>
              <w:bottom w:w="90" w:type="dxa"/>
              <w:right w:w="90" w:type="dxa"/>
            </w:tcMar>
          </w:tcPr>
          <w:p>
            <w:pPr>
              <w:spacing w:after="40" w:line="240" w:lineRule="auto"/>
            </w:pPr>
            <w:r>
              <w:rPr>
                <w:b w:val="0"/>
                <w:sz w:val="20"/>
              </w:rPr>
              <w:t>Ruptura</w:t>
            </w:r>
          </w:p>
        </w:tc>
        <w:tc>
          <w:tcPr>
            <w:tcW w:type="dxa" w:w="3888"/>
            <w:vAlign w:val="center"/>
            <w:shd w:fill="FFFFFF"/>
            <w:tcMar>
              <w:top w:w="90" w:type="dxa"/>
              <w:left w:w="90" w:type="dxa"/>
              <w:bottom w:w="90" w:type="dxa"/>
              <w:right w:w="90" w:type="dxa"/>
            </w:tcMar>
          </w:tcPr>
          <w:p>
            <w:pPr>
              <w:spacing w:after="40" w:line="240" w:lineRule="auto"/>
            </w:pPr>
            <w:r>
              <w:rPr>
                <w:b w:val="0"/>
                <w:sz w:val="20"/>
              </w:rPr>
              <w:t>Vendeu 10, esgotou o lote e fechou antes do fim</w:t>
            </w:r>
          </w:p>
        </w:tc>
        <w:tc>
          <w:tcPr>
            <w:tcW w:type="dxa" w:w="4320"/>
            <w:vAlign w:val="center"/>
            <w:shd w:fill="FFFFFF"/>
            <w:tcMar>
              <w:top w:w="90" w:type="dxa"/>
              <w:left w:w="90" w:type="dxa"/>
              <w:bottom w:w="90" w:type="dxa"/>
              <w:right w:w="90" w:type="dxa"/>
            </w:tcMar>
          </w:tcPr>
          <w:p>
            <w:pPr>
              <w:spacing w:after="40" w:line="240" w:lineRule="auto"/>
            </w:pPr>
            <w:r>
              <w:rPr>
                <w:b w:val="0"/>
                <w:sz w:val="20"/>
              </w:rPr>
              <w:t>Não registrar demanda integral como exatamente 10</w:t>
            </w:r>
          </w:p>
        </w:tc>
      </w:tr>
      <w:tr>
        <w:trPr>
          <w:cantSplit/>
        </w:trPr>
        <w:tc>
          <w:tcPr>
            <w:tcW w:type="dxa" w:w="1728"/>
            <w:vAlign w:val="center"/>
            <w:shd w:fill="F5F7F9"/>
            <w:tcMar>
              <w:top w:w="90" w:type="dxa"/>
              <w:left w:w="90" w:type="dxa"/>
              <w:bottom w:w="90" w:type="dxa"/>
              <w:right w:w="90" w:type="dxa"/>
            </w:tcMar>
          </w:tcPr>
          <w:p>
            <w:pPr>
              <w:spacing w:after="40" w:line="240" w:lineRule="auto"/>
            </w:pPr>
            <w:r>
              <w:rPr>
                <w:b w:val="0"/>
                <w:sz w:val="20"/>
              </w:rPr>
              <w:t>Cache</w:t>
            </w:r>
          </w:p>
        </w:tc>
        <w:tc>
          <w:tcPr>
            <w:tcW w:type="dxa" w:w="3888"/>
            <w:vAlign w:val="center"/>
            <w:shd w:fill="F5F7F9"/>
            <w:tcMar>
              <w:top w:w="90" w:type="dxa"/>
              <w:left w:w="90" w:type="dxa"/>
              <w:bottom w:w="90" w:type="dxa"/>
              <w:right w:w="90" w:type="dxa"/>
            </w:tcMar>
          </w:tcPr>
          <w:p>
            <w:pPr>
              <w:spacing w:after="40" w:line="240" w:lineRule="auto"/>
            </w:pPr>
            <w:r>
              <w:rPr>
                <w:b w:val="0"/>
                <w:sz w:val="20"/>
              </w:rPr>
              <w:t>Previsão fora da política de validade</w:t>
            </w:r>
          </w:p>
        </w:tc>
        <w:tc>
          <w:tcPr>
            <w:tcW w:type="dxa" w:w="4320"/>
            <w:vAlign w:val="center"/>
            <w:shd w:fill="F5F7F9"/>
            <w:tcMar>
              <w:top w:w="90" w:type="dxa"/>
              <w:left w:w="90" w:type="dxa"/>
              <w:bottom w:w="90" w:type="dxa"/>
              <w:right w:w="90" w:type="dxa"/>
            </w:tcMar>
          </w:tcPr>
          <w:p>
            <w:pPr>
              <w:spacing w:after="40" w:line="240" w:lineRule="auto"/>
            </w:pPr>
            <w:r>
              <w:rPr>
                <w:b w:val="0"/>
                <w:sz w:val="20"/>
              </w:rPr>
              <w:t>Informar defasagem e suspender conselho dependente</w:t>
            </w:r>
          </w:p>
        </w:tc>
      </w:tr>
      <w:tr>
        <w:trPr>
          <w:cantSplit/>
        </w:trPr>
        <w:tc>
          <w:tcPr>
            <w:tcW w:type="dxa" w:w="1728"/>
            <w:vAlign w:val="center"/>
            <w:shd w:fill="FFFFFF"/>
            <w:tcMar>
              <w:top w:w="90" w:type="dxa"/>
              <w:left w:w="90" w:type="dxa"/>
              <w:bottom w:w="90" w:type="dxa"/>
              <w:right w:w="90" w:type="dxa"/>
            </w:tcMar>
          </w:tcPr>
          <w:p>
            <w:pPr>
              <w:spacing w:after="40" w:line="240" w:lineRule="auto"/>
            </w:pPr>
            <w:r>
              <w:rPr>
                <w:b w:val="0"/>
                <w:sz w:val="20"/>
              </w:rPr>
              <w:t>Demonstração</w:t>
            </w:r>
          </w:p>
        </w:tc>
        <w:tc>
          <w:tcPr>
            <w:tcW w:type="dxa" w:w="3888"/>
            <w:vAlign w:val="center"/>
            <w:shd w:fill="FFFFFF"/>
            <w:tcMar>
              <w:top w:w="90" w:type="dxa"/>
              <w:left w:w="90" w:type="dxa"/>
              <w:bottom w:w="90" w:type="dxa"/>
              <w:right w:w="90" w:type="dxa"/>
            </w:tcMar>
          </w:tcPr>
          <w:p>
            <w:pPr>
              <w:spacing w:after="40" w:line="240" w:lineRule="auto"/>
            </w:pPr>
            <w:r>
              <w:rPr>
                <w:b w:val="0"/>
                <w:sz w:val="20"/>
              </w:rPr>
              <w:t>Registros fictícios misturados ao histórico</w:t>
            </w:r>
          </w:p>
        </w:tc>
        <w:tc>
          <w:tcPr>
            <w:tcW w:type="dxa" w:w="4320"/>
            <w:vAlign w:val="center"/>
            <w:shd w:fill="FFFFFF"/>
            <w:tcMar>
              <w:top w:w="90" w:type="dxa"/>
              <w:left w:w="90" w:type="dxa"/>
              <w:bottom w:w="90" w:type="dxa"/>
              <w:right w:w="90" w:type="dxa"/>
            </w:tcMar>
          </w:tcPr>
          <w:p>
            <w:pPr>
              <w:spacing w:after="40" w:line="240" w:lineRule="auto"/>
            </w:pPr>
            <w:r>
              <w:rPr>
                <w:b w:val="0"/>
                <w:sz w:val="20"/>
              </w:rPr>
              <w:t>Excluir da estimativa real por padrão</w:t>
            </w:r>
          </w:p>
        </w:tc>
      </w:tr>
      <w:tr>
        <w:trPr>
          <w:cantSplit/>
        </w:trPr>
        <w:tc>
          <w:tcPr>
            <w:tcW w:type="dxa" w:w="1728"/>
            <w:vAlign w:val="center"/>
            <w:shd w:fill="F5F7F9"/>
            <w:tcMar>
              <w:top w:w="90" w:type="dxa"/>
              <w:left w:w="90" w:type="dxa"/>
              <w:bottom w:w="90" w:type="dxa"/>
              <w:right w:w="90" w:type="dxa"/>
            </w:tcMar>
          </w:tcPr>
          <w:p>
            <w:pPr>
              <w:spacing w:after="40" w:line="240" w:lineRule="auto"/>
            </w:pPr>
            <w:r>
              <w:rPr>
                <w:b w:val="0"/>
                <w:sz w:val="20"/>
              </w:rPr>
              <w:t>Duplicação</w:t>
            </w:r>
          </w:p>
        </w:tc>
        <w:tc>
          <w:tcPr>
            <w:tcW w:type="dxa" w:w="3888"/>
            <w:vAlign w:val="center"/>
            <w:shd w:fill="F5F7F9"/>
            <w:tcMar>
              <w:top w:w="90" w:type="dxa"/>
              <w:left w:w="90" w:type="dxa"/>
              <w:bottom w:w="90" w:type="dxa"/>
              <w:right w:w="90" w:type="dxa"/>
            </w:tcMar>
          </w:tcPr>
          <w:p>
            <w:pPr>
              <w:spacing w:after="40" w:line="240" w:lineRule="auto"/>
            </w:pPr>
            <w:r>
              <w:rPr>
                <w:b w:val="0"/>
                <w:sz w:val="20"/>
              </w:rPr>
              <w:t>Mesmo snapshot e mesma finalidade reprocessados</w:t>
            </w:r>
          </w:p>
        </w:tc>
        <w:tc>
          <w:tcPr>
            <w:tcW w:type="dxa" w:w="4320"/>
            <w:vAlign w:val="center"/>
            <w:shd w:fill="F5F7F9"/>
            <w:tcMar>
              <w:top w:w="90" w:type="dxa"/>
              <w:left w:w="90" w:type="dxa"/>
              <w:bottom w:w="90" w:type="dxa"/>
              <w:right w:w="90" w:type="dxa"/>
            </w:tcMar>
          </w:tcPr>
          <w:p>
            <w:pPr>
              <w:spacing w:after="40" w:line="240" w:lineRule="auto"/>
            </w:pPr>
            <w:r>
              <w:rPr>
                <w:b w:val="0"/>
                <w:sz w:val="20"/>
              </w:rPr>
              <w:t>Uma saída ativa; nenhuma mutação duplicada</w:t>
            </w:r>
          </w:p>
        </w:tc>
      </w:tr>
    </w:tbl>
    <w:p>
      <w:pPr>
        <w:pStyle w:val="BodyText"/>
        <w:widowControl/>
      </w:pPr>
      <w:r>
        <w:t xml:space="preserve">Testar ainda conversões cadastradas, descontos, devoluções, cancelamentos, reservas concorrentes, chegada parcial, validade por lote, virada de dia no fuso e centavos residuais. Incluir propriedades invariantes: probabilidade entre zero e um; quantis ordenados; soma conciliada; identidade transacional preservada; ausência de vazamento entre produtores.</w:t>
      </w:r>
    </w:p>
    <w:p>
      <w:pPr>
        <w:pStyle w:val="BodyText"/>
        <w:widowControl/>
      </w:pPr>
      <w:r>
        <w:rPr>
          <w:bCs/>
          <w:b/>
        </w:rPr>
        <w:t xml:space="preserve">Entrega exigida do Codex:</w:t>
      </w:r>
      <w:r>
        <w:t xml:space="preserve"> </w:t>
      </w:r>
      <w:r>
        <w:t xml:space="preserve">relatório de cobertura e duplicidades com caminhos reais; dicionário de métricas conciliado; regras e versões ativas; implementação mínima integrada; testes e evidências dos resultados; modelos habilitados e critérios de validação; pendências com comportamento seguro; instruções de reversão. Informar claramente o que depende de dados ainda não disponíveis.</w:t>
      </w:r>
    </w:p>
    <w:p>
      <w:pPr>
        <w:pStyle w:val="BodyText"/>
        <w:widowControl/>
      </w:pPr>
      <w:r>
        <w:rPr>
          <w:bCs/>
          <w:b/>
        </w:rPr>
        <w:t xml:space="preserve">Comando de adoção:</w:t>
      </w:r>
      <w:r>
        <w:t xml:space="preserve"> </w:t>
      </w:r>
      <w:r>
        <w:t xml:space="preserve">leia estas diretrizes como especificação de engenharia. Primeiro audite o Agro Gestão e compare também os documentos e regras já instalados. Reutilize a lógica canônica; complemente lacunas; resolva conflitos de definição com evidência; valide os cálculos antes de gerar conselhos. Não apresente uma previsão ou probabilidade como validada apenas por ela constar neste documento.</w:t>
      </w:r>
    </w:p>
    <w:bookmarkEnd w:id="36"/>
    <w:bookmarkStart w:id="37" w:name="referências-técnicas"/>
    <w:p>
      <w:pPr>
        <w:pStyle w:val="Heading1"/>
        <w:keepNext/>
        <w:widowControl/>
      </w:pPr>
      <w:r>
        <w:rPr>
          <w:color w:val="000000"/>
        </w:rPr>
        <w:t xml:space="preserve">Referências técnicas</w:t>
      </w:r>
    </w:p>
    <w:p>
      <w:pPr>
        <w:pStyle w:val="FirstParagraph"/>
        <w:widowControl/>
      </w:pPr>
      <w:r>
        <w:t xml:space="preserve">Consultadas em 20 de outubro de 2026. As referências sustentam os conceitos indicados; não constituem validação do Agro Gestão nem das políticas propostas. Exemplos, contratos, etapas e critérios de produto deste documento são especificações para adaptação e teste. Ao implementar, verificar a documentação da versão efetivamente usada, sem atualizar dependências automaticamente.</w:t>
      </w:r>
    </w:p>
    <w:p>
      <w:pPr>
        <w:widowControl/>
        <w:numPr>
          <w:ilvl w:val="0"/>
          <w:numId w:val="1001"/>
        </w:numPr>
      </w:pPr>
      <w:r>
        <w:t xml:space="preserve">NOAA National Weather Service. FAQ What is the Meaning of PoP. Interpretação de probabilidade de precipitação. https://www.weather.gov/ffc/pop</w:t>
      </w:r>
    </w:p>
    <w:p>
      <w:pPr>
        <w:widowControl/>
        <w:numPr>
          <w:ilvl w:val="0"/>
          <w:numId w:val="1001"/>
        </w:numPr>
      </w:pPr>
      <w:r>
        <w:t xml:space="preserve">Allen e colaboradores. FAO Irrigation and Drainage Paper 56. Capítulos 2 e 5. Evapotranspiração de referência e de cultura. https://www.fao.org/4/x0490e/x0490e06.htm e https://www.fao.org/4/x0490e/x0490e0a.htm</w:t>
      </w:r>
    </w:p>
    <w:p>
      <w:pPr>
        <w:widowControl/>
        <w:numPr>
          <w:ilvl w:val="0"/>
          <w:numId w:val="1001"/>
        </w:numPr>
      </w:pPr>
      <w:r>
        <w:t xml:space="preserve">statsmodels. NegativeBinomial. Parametrização NB2 e variância condicional. https://www.statsmodels.org/stable/generated/statsmodels.discrete.discrete_model.NegativeBinomial.html</w:t>
      </w:r>
    </w:p>
    <w:p>
      <w:pPr>
        <w:widowControl/>
        <w:numPr>
          <w:ilvl w:val="0"/>
          <w:numId w:val="1001"/>
        </w:numPr>
      </w:pPr>
      <w:r>
        <w:t xml:space="preserve">Companhia Nacional de Abastecimento. Portal de Informações Agropecuárias. Ponto de partida para pesquisar séries e metadados de mercado; cada série exige conferência própria. https://portaldeinformacoes.conab.gov.br/</w:t>
      </w:r>
    </w:p>
    <w:p>
      <w:pPr>
        <w:widowControl/>
        <w:numPr>
          <w:ilvl w:val="0"/>
          <w:numId w:val="1001"/>
        </w:numPr>
      </w:pPr>
      <w:r>
        <w:t xml:space="preserve">scikit learn. TimeSeriesSplit. Validação em ordem temporal. https://scikit-learn.org/stable/modules/generated/sklearn.model_selection.TimeSeriesSplit.html</w:t>
      </w:r>
    </w:p>
    <w:p>
      <w:pPr>
        <w:widowControl/>
        <w:numPr>
          <w:ilvl w:val="0"/>
          <w:numId w:val="1001"/>
        </w:numPr>
      </w:pPr>
      <w:r>
        <w:t xml:space="preserve">scikit learn. Probability calibration. Calibração, diagramas de confiabilidade e pontuações probabilísticas. https://scikit-learn.org/stable/modules/calibration.html</w:t>
      </w:r>
    </w:p>
    <w:bookmarkEnd w:id="37"/>
    <w:bookmarkEnd w:id="38"/>
    <w:sectPr w:rsidR="00FC693F" w:rsidRPr="0006063C" w:rsidSect="00034616">
      <w:headerReference w:type="default" r:id="rId9"/>
      <w:footerReference w:type="default" r:id="rId10"/>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Versão 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AGRO GESTÃO   |   Diretrizes para os motores de inteligência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60"/>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40" w:before="260"/>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40" w:before="260"/>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140" w:before="260" w:line="240" w:lineRule="auto"/>
      <w:contextualSpacing/>
    </w:pPr>
    <w:rPr>
      <w:rFonts w:ascii="Calibri" w:asciiTheme="majorHAnsi" w:cstheme="majorBidi" w:eastAsiaTheme="majorEastAsia" w:hAnsi="Calibri" w:hAnsiTheme="majorHAnsi"/>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40" w:before="260"/>
    </w:pPr>
    <w:rPr>
      <w:rFonts w:ascii="Calibri" w:asciiTheme="majorHAnsi" w:cstheme="majorBidi" w:eastAsiaTheme="majorEastAsia" w:hAnsi="Calibri" w:hAnsiTheme="majorHAnsi"/>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59" w:lineRule="auto"/>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Diretrizes matemáticas e probabilísticas para a inteligência do Agro Gestão</dc:title>
  <dc:creator>Agro Gestão</dc:creator>
  <cp:keywords/>
  <dcterms:created xsi:type="dcterms:W3CDTF">2026-10-20T22:08:08Z</dcterms:created>
  <dcterms:modified xsi:type="dcterms:W3CDTF">2026-10-20T22:08:08Z</dcterms:modified>
  <dc:subject>Especificação de integração e validação para o Codex</dc:subject>
</cp:coreProperties>
</file>

<file path=docProps/custom.xml><?xml version="1.0" encoding="utf-8"?>
<Properties xmlns="http://schemas.openxmlformats.org/officeDocument/2006/custom-properties" xmlns:vt="http://schemas.openxmlformats.org/officeDocument/2006/docPropsVTypes"/>
</file>