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Diretrizes de inteligência para o Território Gestão</w:t>
      </w:r>
    </w:p>
    <w:p>
      <w:r>
        <w:t>Método de investigação e catálogo de 32 insights para orientar o produtor</w:t>
      </w:r>
    </w:p>
    <w:p>
      <w:r>
        <w:t>Este documento orienta a memória de conhecimento do app e sua implementação no Codex. Define como transformar registros de vendas, estoque e clientes em análises explicáveis e ações pequenas que possam ser avaliadas na próxima feira ou período.</w:t>
      </w:r>
    </w:p>
    <w:p>
      <w:r>
        <w:t>A inteligência deve apresentar primeiro o que aconteceu, depois as possíveis explicações e, por fim, uma ação sugerida. Cálculos e totais devem ser produzidos por regras verificáveis do sistema. Os dados fictícios de teste devem permanecer identificados como simulação em todas as análises e exportações.</w:t>
      </w:r>
    </w:p>
    <w:p>
      <w:pPr>
        <w:pStyle w:val="Heading2"/>
      </w:pPr>
      <w:r>
        <w:t>1 Onde cada informação entra</w:t>
      </w:r>
    </w:p>
    <w:tbl>
      <w:tblPr>
        <w:tblW w:type="auto" w:w="0"/>
        <w:tblLayout w:type="fixed"/>
        <w:tblLook w:firstColumn="1" w:firstRow="1" w:lastColumn="0" w:lastRow="0" w:noHBand="0" w:noVBand="1" w:val="04A0"/>
      </w:tblPr>
      <w:tblGrid>
        <w:gridCol w:w="2952"/>
        <w:gridCol w:w="7128"/>
      </w:tblGrid>
      <w:tr>
        <w:trPr>
          <w:cantSplit/>
          <w:tblHeader/>
        </w:trPr>
        <w:tc>
          <w:tcPr>
            <w:tcW w:type="dxa" w:w="2952"/>
            <w:vAlign w:val="center"/>
            <w:tcBorders>
              <w:top w:val="single" w:sz="4" w:color="D9D9D9"/>
              <w:left w:val="single" w:sz="4" w:color="D9D9D9"/>
              <w:bottom w:val="single" w:sz="4" w:color="D9D9D9"/>
              <w:right w:val="single" w:sz="4" w:color="D9D9D9"/>
            </w:tcBorders>
            <w:shd w:fill="17324D"/>
            <w:tcMar>
              <w:top w:w="85" w:type="dxa"/>
              <w:left w:w="85" w:type="dxa"/>
              <w:bottom w:w="85" w:type="dxa"/>
              <w:right w:w="85" w:type="dxa"/>
            </w:tcMar>
          </w:tcPr>
          <w:p>
            <w:pPr>
              <w:spacing w:after="60"/>
            </w:pPr>
            <w:r>
              <w:rPr>
                <w:b/>
                <w:color w:val="FFFFFF"/>
                <w:sz w:val="20"/>
              </w:rPr>
              <w:t>Local</w:t>
            </w:r>
          </w:p>
        </w:tc>
        <w:tc>
          <w:tcPr>
            <w:tcW w:type="dxa" w:w="7128"/>
            <w:vAlign w:val="center"/>
            <w:tcBorders>
              <w:top w:val="single" w:sz="4" w:color="D9D9D9"/>
              <w:left w:val="single" w:sz="4" w:color="D9D9D9"/>
              <w:bottom w:val="single" w:sz="4" w:color="D9D9D9"/>
              <w:right w:val="single" w:sz="4" w:color="D9D9D9"/>
            </w:tcBorders>
            <w:shd w:fill="17324D"/>
            <w:tcMar>
              <w:top w:w="85" w:type="dxa"/>
              <w:left w:w="85" w:type="dxa"/>
              <w:bottom w:w="85" w:type="dxa"/>
              <w:right w:w="85" w:type="dxa"/>
            </w:tcMar>
          </w:tcPr>
          <w:p>
            <w:pPr>
              <w:spacing w:after="60"/>
            </w:pPr>
            <w:r>
              <w:rPr>
                <w:b/>
                <w:color w:val="FFFFFF"/>
                <w:sz w:val="20"/>
              </w:rPr>
              <w:t>Conteúdo e comportamento</w:t>
            </w:r>
          </w:p>
        </w:tc>
      </w:tr>
      <w:tr>
        <w:trPr>
          <w:cantSplit/>
        </w:trPr>
        <w:tc>
          <w:tcPr>
            <w:tcW w:type="dxa" w:w="295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sz w:val="20"/>
              </w:rPr>
              <w:t>Produtos → ícone de papel</w:t>
            </w:r>
          </w:p>
        </w:tc>
        <w:tc>
          <w:tcPr>
            <w:tcW w:type="dxa" w:w="71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sz w:val="20"/>
              </w:rPr>
              <w:t>Resumo por produto e variação, totais, custos, resultado bruto e estoque restante. Encerrar com Ver análise.</w:t>
            </w:r>
          </w:p>
        </w:tc>
      </w:tr>
      <w:tr>
        <w:trPr>
          <w:cantSplit/>
        </w:trPr>
        <w:tc>
          <w:tcPr>
            <w:tcW w:type="dxa" w:w="2952"/>
            <w:vAlign w:val="center"/>
            <w:tcBorders>
              <w:top w:val="single" w:sz="4" w:color="D9D9D9"/>
              <w:left w:val="single" w:sz="4" w:color="D9D9D9"/>
              <w:bottom w:val="single" w:sz="4" w:color="D9D9D9"/>
              <w:right w:val="single" w:sz="4" w:color="D9D9D9"/>
            </w:tcBorders>
            <w:shd w:fill="F2F5F8"/>
            <w:tcMar>
              <w:top w:w="85" w:type="dxa"/>
              <w:left w:w="85" w:type="dxa"/>
              <w:bottom w:w="85" w:type="dxa"/>
              <w:right w:w="85" w:type="dxa"/>
            </w:tcMar>
          </w:tcPr>
          <w:p>
            <w:pPr>
              <w:spacing w:after="60"/>
            </w:pPr>
            <w:r>
              <w:rPr>
                <w:sz w:val="20"/>
              </w:rPr>
              <w:t>Gestão → cérebro no topo</w:t>
            </w:r>
          </w:p>
        </w:tc>
        <w:tc>
          <w:tcPr>
            <w:tcW w:type="dxa" w:w="7128"/>
            <w:vAlign w:val="center"/>
            <w:tcBorders>
              <w:top w:val="single" w:sz="4" w:color="D9D9D9"/>
              <w:left w:val="single" w:sz="4" w:color="D9D9D9"/>
              <w:bottom w:val="single" w:sz="4" w:color="D9D9D9"/>
              <w:right w:val="single" w:sz="4" w:color="D9D9D9"/>
            </w:tcBorders>
            <w:shd w:fill="F2F5F8"/>
            <w:tcMar>
              <w:top w:w="85" w:type="dxa"/>
              <w:left w:w="85" w:type="dxa"/>
              <w:bottom w:w="85" w:type="dxa"/>
              <w:right w:w="85" w:type="dxa"/>
            </w:tcMar>
          </w:tcPr>
          <w:p>
            <w:pPr>
              <w:spacing w:after="60"/>
            </w:pPr>
            <w:r>
              <w:rPr>
                <w:sz w:val="20"/>
              </w:rPr>
              <w:t>Central de insights. Filtros por período, evento e produto. Mostrar até três prioridades e permitir Ver todos.</w:t>
            </w:r>
          </w:p>
        </w:tc>
      </w:tr>
      <w:tr>
        <w:trPr>
          <w:cantSplit/>
        </w:trPr>
        <w:tc>
          <w:tcPr>
            <w:tcW w:type="dxa" w:w="295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sz w:val="20"/>
              </w:rPr>
              <w:t>Estoque</w:t>
            </w:r>
          </w:p>
        </w:tc>
        <w:tc>
          <w:tcPr>
            <w:tcW w:type="dxa" w:w="71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sz w:val="20"/>
              </w:rPr>
              <w:t>Aviso contextual por produto, como Sobra recorrente ou Custo não informado. Tocar abre a análise correspondente.</w:t>
            </w:r>
          </w:p>
        </w:tc>
      </w:tr>
      <w:tr>
        <w:trPr>
          <w:cantSplit/>
        </w:trPr>
        <w:tc>
          <w:tcPr>
            <w:tcW w:type="dxa" w:w="2952"/>
            <w:vAlign w:val="center"/>
            <w:tcBorders>
              <w:top w:val="single" w:sz="4" w:color="D9D9D9"/>
              <w:left w:val="single" w:sz="4" w:color="D9D9D9"/>
              <w:bottom w:val="single" w:sz="4" w:color="D9D9D9"/>
              <w:right w:val="single" w:sz="4" w:color="D9D9D9"/>
            </w:tcBorders>
            <w:shd w:fill="F2F5F8"/>
            <w:tcMar>
              <w:top w:w="85" w:type="dxa"/>
              <w:left w:w="85" w:type="dxa"/>
              <w:bottom w:w="85" w:type="dxa"/>
              <w:right w:w="85" w:type="dxa"/>
            </w:tcMar>
          </w:tcPr>
          <w:p>
            <w:pPr>
              <w:spacing w:after="60"/>
            </w:pPr>
            <w:r>
              <w:rPr>
                <w:sz w:val="20"/>
              </w:rPr>
              <w:t>Clientes</w:t>
            </w:r>
          </w:p>
        </w:tc>
        <w:tc>
          <w:tcPr>
            <w:tcW w:type="dxa" w:w="7128"/>
            <w:vAlign w:val="center"/>
            <w:tcBorders>
              <w:top w:val="single" w:sz="4" w:color="D9D9D9"/>
              <w:left w:val="single" w:sz="4" w:color="D9D9D9"/>
              <w:bottom w:val="single" w:sz="4" w:color="D9D9D9"/>
              <w:right w:val="single" w:sz="4" w:color="D9D9D9"/>
            </w:tcBorders>
            <w:shd w:fill="F2F5F8"/>
            <w:tcMar>
              <w:top w:w="85" w:type="dxa"/>
              <w:left w:w="85" w:type="dxa"/>
              <w:bottom w:w="85" w:type="dxa"/>
              <w:right w:w="85" w:type="dxa"/>
            </w:tcMar>
          </w:tcPr>
          <w:p>
            <w:pPr>
              <w:spacing w:after="60"/>
            </w:pPr>
            <w:r>
              <w:rPr>
                <w:sz w:val="20"/>
              </w:rPr>
              <w:t>Recorrência, perfil de compra e oportunidades de relacionamento, com identificação disponível e consentimento aplicável.</w:t>
            </w:r>
          </w:p>
        </w:tc>
      </w:tr>
      <w:tr>
        <w:trPr>
          <w:cantSplit/>
        </w:trPr>
        <w:tc>
          <w:tcPr>
            <w:tcW w:type="dxa" w:w="295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sz w:val="20"/>
              </w:rPr>
              <w:t>Gestão → origem das vendas</w:t>
            </w:r>
          </w:p>
        </w:tc>
        <w:tc>
          <w:tcPr>
            <w:tcW w:type="dxa" w:w="71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sz w:val="20"/>
              </w:rPr>
              <w:t>Comparar contexto da venda, como evento ou venda individual, e perfil do comprador, como PF ou CNPJ, em dimensões separadas.</w:t>
            </w:r>
          </w:p>
        </w:tc>
      </w:tr>
      <w:tr>
        <w:trPr>
          <w:cantSplit/>
        </w:trPr>
        <w:tc>
          <w:tcPr>
            <w:tcW w:type="dxa" w:w="2952"/>
            <w:vAlign w:val="center"/>
            <w:tcBorders>
              <w:top w:val="single" w:sz="4" w:color="D9D9D9"/>
              <w:left w:val="single" w:sz="4" w:color="D9D9D9"/>
              <w:bottom w:val="single" w:sz="4" w:color="D9D9D9"/>
              <w:right w:val="single" w:sz="4" w:color="D9D9D9"/>
            </w:tcBorders>
            <w:shd w:fill="F2F5F8"/>
            <w:tcMar>
              <w:top w:w="85" w:type="dxa"/>
              <w:left w:w="85" w:type="dxa"/>
              <w:bottom w:w="85" w:type="dxa"/>
              <w:right w:w="85" w:type="dxa"/>
            </w:tcMar>
          </w:tcPr>
          <w:p>
            <w:pPr>
              <w:spacing w:after="60"/>
            </w:pPr>
            <w:r>
              <w:rPr>
                <w:sz w:val="20"/>
              </w:rPr>
              <w:t>Gestão → resultados e relatórios</w:t>
            </w:r>
          </w:p>
        </w:tc>
        <w:tc>
          <w:tcPr>
            <w:tcW w:type="dxa" w:w="7128"/>
            <w:vAlign w:val="center"/>
            <w:tcBorders>
              <w:top w:val="single" w:sz="4" w:color="D9D9D9"/>
              <w:left w:val="single" w:sz="4" w:color="D9D9D9"/>
              <w:bottom w:val="single" w:sz="4" w:color="D9D9D9"/>
              <w:right w:val="single" w:sz="4" w:color="D9D9D9"/>
            </w:tcBorders>
            <w:shd w:fill="F2F5F8"/>
            <w:tcMar>
              <w:top w:w="85" w:type="dxa"/>
              <w:left w:w="85" w:type="dxa"/>
              <w:bottom w:w="85" w:type="dxa"/>
              <w:right w:w="85" w:type="dxa"/>
            </w:tcMar>
          </w:tcPr>
          <w:p>
            <w:pPr>
              <w:spacing w:after="60"/>
            </w:pPr>
            <w:r>
              <w:rPr>
                <w:sz w:val="20"/>
              </w:rPr>
              <w:t>Histórico, fechamento de eventos e comparação dos testes planejados com os resultados observados.</w:t>
            </w:r>
          </w:p>
        </w:tc>
      </w:tr>
    </w:tbl>
    <w:p>
      <w:pPr>
        <w:pStyle w:val="Heading2"/>
      </w:pPr>
      <w:r>
        <w:t>2 Apresentação dos insights</w:t>
      </w:r>
    </w:p>
    <w:p>
      <w:r>
        <w:t>Cada cartão mostra produto ou tema, fato com números e uma frase de orientação. Ver explicação abre evidências, hipótese e limitações. Planejar próximo teste registra uma intenção; não altera estoque, preço ou cadastro. Os mesmos insights devem manter uma identidade única ao aparecer em diferentes telas.</w:t>
      </w:r>
    </w:p>
    <w:p>
      <w:r>
        <w:br w:type="page"/>
      </w:r>
    </w:p>
    <w:p>
      <w:pPr>
        <w:pStyle w:val="Heading1"/>
      </w:pPr>
      <w:r>
        <w:t>Método de análise e regras dos dados</w:t>
      </w:r>
    </w:p>
    <w:p>
      <w:pPr>
        <w:pStyle w:val="Heading2"/>
      </w:pPr>
      <w:r>
        <w:t>3 Como o app deve investigar</w:t>
      </w:r>
    </w:p>
    <w:p>
      <w:r>
        <w:t>Observar: localizar um desvio ou uma oportunidade. Reformular: escrever a necessidade do produtor sem pressupor uma solução. Investigar: separar fatos registrados, informações ausentes e hipóteses. Testar: propor uma mudança limitada, com medida e período. Comparar: conferir o resultado e revisar a orientação.</w:t>
      </w:r>
    </w:p>
    <w:p>
      <w:r>
        <w:t>O método adapta os nove passos do texto de referência: observar, reformular, inventariar recursos e limites, investigar causas, mudar o ponto de vista, prever um resultado mensurável, conectar soluções, testar e simplificar. As histórias dos pensadores servem como inspiração; não precisam aparecer na interface nem funcionar como prova de uma recomendação.</w:t>
      </w:r>
    </w:p>
    <w:p>
      <w:pPr>
        <w:pStyle w:val="Heading2"/>
      </w:pPr>
      <w:r>
        <w:t>4 Dados e cálculos obrigatórios</w:t>
      </w:r>
    </w:p>
    <w:p>
      <w:r>
        <w:t>Conservar produto, variação, unidade, lote ou custo adotado, quantidade, preço efetivo, desconto, data e hora, evento, perfil do comprador e situação do pagamento. Custo histórico da venda deve permanecer rastreável após mudanças no cadastro. Cancelamentos, devoluções e correções precisam atualizar a análise sem dupla contagem.</w:t>
      </w:r>
    </w:p>
    <w:tbl>
      <w:tblPr>
        <w:tblW w:type="auto" w:w="0"/>
        <w:tblLayout w:type="fixed"/>
        <w:tblLook w:firstColumn="1" w:firstRow="1" w:lastColumn="0" w:lastRow="0" w:noHBand="0" w:noVBand="1" w:val="04A0"/>
      </w:tblPr>
      <w:tblGrid>
        <w:gridCol w:w="2304"/>
        <w:gridCol w:w="7776"/>
      </w:tblGrid>
      <w:tr>
        <w:trPr>
          <w:cantSplit/>
          <w:tblHeader/>
        </w:trPr>
        <w:tc>
          <w:tcPr>
            <w:tcW w:type="dxa" w:w="2304"/>
            <w:vAlign w:val="center"/>
            <w:tcBorders>
              <w:top w:val="single" w:sz="4" w:color="D9D9D9"/>
              <w:left w:val="single" w:sz="4" w:color="D9D9D9"/>
              <w:bottom w:val="single" w:sz="4" w:color="D9D9D9"/>
              <w:right w:val="single" w:sz="4" w:color="D9D9D9"/>
            </w:tcBorders>
            <w:shd w:fill="17324D"/>
            <w:tcMar>
              <w:top w:w="85" w:type="dxa"/>
              <w:left w:w="85" w:type="dxa"/>
              <w:bottom w:w="85" w:type="dxa"/>
              <w:right w:w="85" w:type="dxa"/>
            </w:tcMar>
          </w:tcPr>
          <w:p>
            <w:pPr>
              <w:spacing w:after="60"/>
            </w:pPr>
            <w:r>
              <w:rPr>
                <w:b/>
                <w:color w:val="FFFFFF"/>
                <w:sz w:val="20"/>
              </w:rPr>
              <w:t>Medida</w:t>
            </w:r>
          </w:p>
        </w:tc>
        <w:tc>
          <w:tcPr>
            <w:tcW w:type="dxa" w:w="7776"/>
            <w:vAlign w:val="center"/>
            <w:tcBorders>
              <w:top w:val="single" w:sz="4" w:color="D9D9D9"/>
              <w:left w:val="single" w:sz="4" w:color="D9D9D9"/>
              <w:bottom w:val="single" w:sz="4" w:color="D9D9D9"/>
              <w:right w:val="single" w:sz="4" w:color="D9D9D9"/>
            </w:tcBorders>
            <w:shd w:fill="17324D"/>
            <w:tcMar>
              <w:top w:w="85" w:type="dxa"/>
              <w:left w:w="85" w:type="dxa"/>
              <w:bottom w:w="85" w:type="dxa"/>
              <w:right w:w="85" w:type="dxa"/>
            </w:tcMar>
          </w:tcPr>
          <w:p>
            <w:pPr>
              <w:spacing w:after="60"/>
            </w:pPr>
            <w:r>
              <w:rPr>
                <w:b/>
                <w:color w:val="FFFFFF"/>
                <w:sz w:val="20"/>
              </w:rPr>
              <w:t>Regra operacional</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sz w:val="20"/>
              </w:rPr>
              <w:t>Receita dos itens</w:t>
            </w:r>
          </w:p>
        </w:tc>
        <w:tc>
          <w:tcPr>
            <w:tcW w:type="dxa" w:w="77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sz w:val="20"/>
              </w:rPr>
              <w:t>Quantidade × preço, menos descontos atribuídos e devoluções. O rateio de desconto global precisa fechar com o total da venda.</w:t>
            </w:r>
          </w:p>
        </w:tc>
      </w:tr>
      <w:tr>
        <w:trPr>
          <w:cantSplit/>
        </w:trPr>
        <w:tc>
          <w:tcPr>
            <w:tcW w:type="dxa" w:w="2304"/>
            <w:vAlign w:val="center"/>
            <w:tcBorders>
              <w:top w:val="single" w:sz="4" w:color="D9D9D9"/>
              <w:left w:val="single" w:sz="4" w:color="D9D9D9"/>
              <w:bottom w:val="single" w:sz="4" w:color="D9D9D9"/>
              <w:right w:val="single" w:sz="4" w:color="D9D9D9"/>
            </w:tcBorders>
            <w:shd w:fill="F2F5F8"/>
            <w:tcMar>
              <w:top w:w="85" w:type="dxa"/>
              <w:left w:w="85" w:type="dxa"/>
              <w:bottom w:w="85" w:type="dxa"/>
              <w:right w:w="85" w:type="dxa"/>
            </w:tcMar>
          </w:tcPr>
          <w:p>
            <w:pPr>
              <w:spacing w:after="60"/>
            </w:pPr>
            <w:r>
              <w:rPr>
                <w:sz w:val="20"/>
              </w:rPr>
              <w:t>Resultado bruto</w:t>
            </w:r>
          </w:p>
        </w:tc>
        <w:tc>
          <w:tcPr>
            <w:tcW w:type="dxa" w:w="7776"/>
            <w:vAlign w:val="center"/>
            <w:tcBorders>
              <w:top w:val="single" w:sz="4" w:color="D9D9D9"/>
              <w:left w:val="single" w:sz="4" w:color="D9D9D9"/>
              <w:bottom w:val="single" w:sz="4" w:color="D9D9D9"/>
              <w:right w:val="single" w:sz="4" w:color="D9D9D9"/>
            </w:tcBorders>
            <w:shd w:fill="F2F5F8"/>
            <w:tcMar>
              <w:top w:w="85" w:type="dxa"/>
              <w:left w:w="85" w:type="dxa"/>
              <w:bottom w:w="85" w:type="dxa"/>
              <w:right w:w="85" w:type="dxa"/>
            </w:tcMar>
          </w:tcPr>
          <w:p>
            <w:pPr>
              <w:spacing w:after="60"/>
            </w:pPr>
            <w:r>
              <w:rPr>
                <w:sz w:val="20"/>
              </w:rPr>
              <w:t>Receita dos itens menos custo dos produtos vendidos. Não chamar de lucro líquido quando despesas e demais encargos não estiverem completos.</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sz w:val="20"/>
              </w:rPr>
              <w:t>Estoque final</w:t>
            </w:r>
          </w:p>
        </w:tc>
        <w:tc>
          <w:tcPr>
            <w:tcW w:type="dxa" w:w="77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sz w:val="20"/>
              </w:rPr>
              <w:t>Estoque inicial + entradas + devoluções aproveitáveis − vendas − perdas − outras saídas. Estoque da feira e estoque geral são escopos distintos.</w:t>
            </w:r>
          </w:p>
        </w:tc>
      </w:tr>
      <w:tr>
        <w:trPr>
          <w:cantSplit/>
        </w:trPr>
        <w:tc>
          <w:tcPr>
            <w:tcW w:type="dxa" w:w="2304"/>
            <w:vAlign w:val="center"/>
            <w:tcBorders>
              <w:top w:val="single" w:sz="4" w:color="D9D9D9"/>
              <w:left w:val="single" w:sz="4" w:color="D9D9D9"/>
              <w:bottom w:val="single" w:sz="4" w:color="D9D9D9"/>
              <w:right w:val="single" w:sz="4" w:color="D9D9D9"/>
            </w:tcBorders>
            <w:shd w:fill="F2F5F8"/>
            <w:tcMar>
              <w:top w:w="85" w:type="dxa"/>
              <w:left w:w="85" w:type="dxa"/>
              <w:bottom w:w="85" w:type="dxa"/>
              <w:right w:w="85" w:type="dxa"/>
            </w:tcMar>
          </w:tcPr>
          <w:p>
            <w:pPr>
              <w:spacing w:after="60"/>
            </w:pPr>
            <w:r>
              <w:rPr>
                <w:sz w:val="20"/>
              </w:rPr>
              <w:t>Taxa de venda</w:t>
            </w:r>
          </w:p>
        </w:tc>
        <w:tc>
          <w:tcPr>
            <w:tcW w:type="dxa" w:w="7776"/>
            <w:vAlign w:val="center"/>
            <w:tcBorders>
              <w:top w:val="single" w:sz="4" w:color="D9D9D9"/>
              <w:left w:val="single" w:sz="4" w:color="D9D9D9"/>
              <w:bottom w:val="single" w:sz="4" w:color="D9D9D9"/>
              <w:right w:val="single" w:sz="4" w:color="D9D9D9"/>
            </w:tcBorders>
            <w:shd w:fill="F2F5F8"/>
            <w:tcMar>
              <w:top w:w="85" w:type="dxa"/>
              <w:left w:w="85" w:type="dxa"/>
              <w:bottom w:w="85" w:type="dxa"/>
              <w:right w:w="85" w:type="dxa"/>
            </w:tcMar>
          </w:tcPr>
          <w:p>
            <w:pPr>
              <w:spacing w:after="60"/>
            </w:pPr>
            <w:r>
              <w:rPr>
                <w:sz w:val="20"/>
              </w:rPr>
              <w:t>Quantidade vendida ÷ quantidade disponibilizada no mesmo escopo. Considerar reposições; não calcular com denominador zero.</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sz w:val="20"/>
              </w:rPr>
              <w:t>Valor do estoque</w:t>
            </w:r>
          </w:p>
        </w:tc>
        <w:tc>
          <w:tcPr>
            <w:tcW w:type="dxa" w:w="77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sz w:val="20"/>
              </w:rPr>
              <w:t>Separar valor de custo de valor potencial de venda aos preços atuais. Potencial de venda não é receita realizada.</w:t>
            </w:r>
          </w:p>
        </w:tc>
      </w:tr>
      <w:tr>
        <w:trPr>
          <w:cantSplit/>
        </w:trPr>
        <w:tc>
          <w:tcPr>
            <w:tcW w:type="dxa" w:w="2304"/>
            <w:vAlign w:val="center"/>
            <w:tcBorders>
              <w:top w:val="single" w:sz="4" w:color="D9D9D9"/>
              <w:left w:val="single" w:sz="4" w:color="D9D9D9"/>
              <w:bottom w:val="single" w:sz="4" w:color="D9D9D9"/>
              <w:right w:val="single" w:sz="4" w:color="D9D9D9"/>
            </w:tcBorders>
            <w:shd w:fill="F2F5F8"/>
            <w:tcMar>
              <w:top w:w="85" w:type="dxa"/>
              <w:left w:w="85" w:type="dxa"/>
              <w:bottom w:w="85" w:type="dxa"/>
              <w:right w:w="85" w:type="dxa"/>
            </w:tcMar>
          </w:tcPr>
          <w:p>
            <w:pPr>
              <w:spacing w:after="60"/>
            </w:pPr>
            <w:r>
              <w:rPr>
                <w:sz w:val="20"/>
              </w:rPr>
              <w:t>Quantidade total</w:t>
            </w:r>
          </w:p>
        </w:tc>
        <w:tc>
          <w:tcPr>
            <w:tcW w:type="dxa" w:w="7776"/>
            <w:vAlign w:val="center"/>
            <w:tcBorders>
              <w:top w:val="single" w:sz="4" w:color="D9D9D9"/>
              <w:left w:val="single" w:sz="4" w:color="D9D9D9"/>
              <w:bottom w:val="single" w:sz="4" w:color="D9D9D9"/>
              <w:right w:val="single" w:sz="4" w:color="D9D9D9"/>
            </w:tcBorders>
            <w:shd w:fill="F2F5F8"/>
            <w:tcMar>
              <w:top w:w="85" w:type="dxa"/>
              <w:left w:w="85" w:type="dxa"/>
              <w:bottom w:w="85" w:type="dxa"/>
              <w:right w:w="85" w:type="dxa"/>
            </w:tcMar>
          </w:tcPr>
          <w:p>
            <w:pPr>
              <w:spacing w:after="60"/>
            </w:pPr>
            <w:r>
              <w:rPr>
                <w:sz w:val="20"/>
              </w:rPr>
              <w:t>Somar apenas unidades compatíveis. Mostrar pacotes, kg, litros e dúzias separadamente; valores monetários podem ser consolidados.</w:t>
            </w:r>
          </w:p>
        </w:tc>
      </w:tr>
    </w:tbl>
    <w:p>
      <w:pPr>
        <w:pStyle w:val="Heading2"/>
      </w:pPr>
      <w:r>
        <w:t>5 Limites que devem acompanhar as conclusões</w:t>
      </w:r>
    </w:p>
    <w:p>
      <w:r>
        <w:t>Custo ausente é desconhecido, nunca zero. Venda registrada não prova recebimento. Horário sem vendas pode indicar ausência de registro ou produto esgotado. Sem visitantes ou atendimentos medidos, não calcular conversão. Separar resultado descritivo de hipótese causal. Comparações devem informar período, tamanho da amostra e diferenças relevantes entre eventos.</w:t>
      </w:r>
    </w:p>
    <w:p>
      <w:r>
        <w:br w:type="page"/>
      </w:r>
    </w:p>
    <w:p>
      <w:pPr>
        <w:pStyle w:val="Heading1"/>
      </w:pPr>
      <w:r>
        <w:t>Insights sobre produtos e estoque</w:t>
      </w:r>
    </w:p>
    <w:p>
      <w:r>
        <w:t>Os exemplos abaixo são regras de geração, sem resultados reais. Local principal: Gestão → cérebro. Os atalhos indicados abrem a mesma análise na tela correspondente.</w:t>
      </w:r>
    </w:p>
    <w:p>
      <w:pPr>
        <w:pStyle w:val="Heading2"/>
      </w:pPr>
      <w:r>
        <w:t>1 Sobra recorrente por variação</w:t>
      </w:r>
    </w:p>
    <w:p>
      <w:r>
        <w:t>Dados: quantidades disponibilizadas e vendidas em eventos comparáveis. Se a sobra se repetir, sugerir um lote menor de teste. Medir taxa de venda, resultado bruto e faltas. Atalho: Estoque.</w:t>
      </w:r>
    </w:p>
    <w:p>
      <w:pPr>
        <w:pStyle w:val="Heading2"/>
      </w:pPr>
      <w:r>
        <w:t>2 Produto que acaba cedo</w:t>
      </w:r>
    </w:p>
    <w:p>
      <w:r>
        <w:t>Dados: movimentações com hora e momento do esgotamento. Sinalizar risco de falta antes do fim e testar reposição limitada. Não estimar demanda perdida como venda certa. Atalho: Estoque.</w:t>
      </w:r>
    </w:p>
    <w:p>
      <w:pPr>
        <w:pStyle w:val="Heading2"/>
      </w:pPr>
      <w:r>
        <w:t>3 Variações com procura diferente</w:t>
      </w:r>
    </w:p>
    <w:p>
      <w:r>
        <w:t>Dados: vendas e disponibilidade de cada peso, sabor ou apresentação. Comparar taxas e resultado, respeitando unidades. Sugerir ajustar a composição do lote sem concluir apenas pelo faturamento. Atalho: Produtos.</w:t>
      </w:r>
    </w:p>
    <w:p>
      <w:pPr>
        <w:pStyle w:val="Heading2"/>
      </w:pPr>
      <w:r>
        <w:t>4 Estoque com pouca movimentação</w:t>
      </w:r>
    </w:p>
    <w:p>
      <w:r>
        <w:t>Dados: entradas, saídas e tempo de disponibilidade. Apontar itens parados e seu valor de custo. Investigar exposição, preço e adequação ao público antes de recomendar desconto. Atalho: Estoque.</w:t>
      </w:r>
    </w:p>
    <w:p>
      <w:pPr>
        <w:pStyle w:val="Heading2"/>
      </w:pPr>
      <w:r>
        <w:t>5 Validade próxima</w:t>
      </w:r>
    </w:p>
    <w:p>
      <w:r>
        <w:t>Dados: lote, validade, condições de conservação e estoque disponível. Priorizar a saída dos lotes válidos mais próximos do vencimento. Lote vencido deve ser bloqueado para venda. Atalho: Estoque.</w:t>
      </w:r>
    </w:p>
    <w:p>
      <w:pPr>
        <w:pStyle w:val="Heading2"/>
      </w:pPr>
      <w:r>
        <w:t>6 Perdas acima do próprio histórico</w:t>
      </w:r>
    </w:p>
    <w:p>
      <w:r>
        <w:t>Dados: baixas por perda, motivo, quantidade e custo. Comparar com períodos equivalentes e sugerir verificar transporte, embalagem ou conservação. Sem registro de perda, não inventar desperdício. Atalho: Estoque.</w:t>
      </w:r>
    </w:p>
    <w:p>
      <w:pPr>
        <w:pStyle w:val="Heading2"/>
      </w:pPr>
      <w:r>
        <w:t>7 Reposição que chega tarde</w:t>
      </w:r>
    </w:p>
    <w:p>
      <w:r>
        <w:t>Dados: pedidos, prazo real de entrega e consumo recente. Alertar quando a cobertura estimada ficar menor que o prazo de reposição. Informar premissas e sazonalidade. Atalho: Estoque.</w:t>
      </w:r>
    </w:p>
    <w:p>
      <w:pPr>
        <w:pStyle w:val="Heading2"/>
      </w:pPr>
      <w:r>
        <w:t>8 Diferença entre estoque físico e registrado</w:t>
      </w:r>
    </w:p>
    <w:p>
      <w:r>
        <w:t>Dados: contagem física e movimentações conciliadas. Mostrar divergência por item e solicitar conferência. Não atribuir a causa a furto ou erro de uma pessoa sem evidência. Atalho: Estoque.</w:t>
      </w:r>
    </w:p>
    <w:p>
      <w:r>
        <w:br w:type="page"/>
      </w:r>
    </w:p>
    <w:p>
      <w:pPr>
        <w:pStyle w:val="Heading1"/>
      </w:pPr>
      <w:r>
        <w:t>Insights sobre resultado e pagamentos</w:t>
      </w:r>
    </w:p>
    <w:p>
      <w:pPr>
        <w:pStyle w:val="Heading2"/>
      </w:pPr>
      <w:r>
        <w:t>9 Muito faturamento e pouco resultado bruto</w:t>
      </w:r>
    </w:p>
    <w:p>
      <w:r>
        <w:t>Dados: receita efetiva e custo histórico por item. Destacar produtos que vendem bem e deixam resultado pequeno. Simular preço, custo ou composição da oferta, deixando explícito o que permanece constante. Atalho: Resultados e relatórios.</w:t>
      </w:r>
    </w:p>
    <w:p>
      <w:pPr>
        <w:pStyle w:val="Heading2"/>
      </w:pPr>
      <w:r>
        <w:t>10 Descontos que consomem o resultado</w:t>
      </w:r>
    </w:p>
    <w:p>
      <w:r>
        <w:t>Dados: desconto rateado e custo por item. Mostrar quanto o desconto reduziu o resultado bruto na operação observada. Testar desconto menor ou outra oferta; não presumir que o volume vendido seria igual sem desconto. Atalho: Resumo de vendas.</w:t>
      </w:r>
    </w:p>
    <w:p>
      <w:pPr>
        <w:pStyle w:val="Heading2"/>
      </w:pPr>
      <w:r>
        <w:t>11 Venda abaixo do custo registrado</w:t>
      </w:r>
    </w:p>
    <w:p>
      <w:r>
        <w:t>Dados: receita do item após desconto e custo histórico. Alertar sobre resultado bruto negativo e pedir conferência do cadastro. Não alterar o preço automaticamente. Atalho: Produtos.</w:t>
      </w:r>
    </w:p>
    <w:p>
      <w:pPr>
        <w:pStyle w:val="Heading2"/>
      </w:pPr>
      <w:r>
        <w:t>12 Custos incompletos</w:t>
      </w:r>
    </w:p>
    <w:p>
      <w:r>
        <w:t>Dados: itens vendidos sem custo ou com custo pendente. Informar receita conhecida e parcela sem custo. Suspender a conclusão sobre resultado total até completar os dados. Atalho: Estoque.</w:t>
      </w:r>
    </w:p>
    <w:p>
      <w:pPr>
        <w:pStyle w:val="Heading2"/>
      </w:pPr>
      <w:r>
        <w:t>13 Taxas dos meios de pagamento</w:t>
      </w:r>
    </w:p>
    <w:p>
      <w:r>
        <w:t>Dados: receita e taxas efetivamente cadastradas por operação. Comparar resultado após taxas, prazo e conveniência. Não assumir que Pix é sempre gratuito ou cartão sempre tem a mesma tarifa. Atalho: Gestão.</w:t>
      </w:r>
    </w:p>
    <w:p>
      <w:pPr>
        <w:pStyle w:val="Heading2"/>
      </w:pPr>
      <w:r>
        <w:t>14 Vendas ainda não recebidas</w:t>
      </w:r>
    </w:p>
    <w:p>
      <w:r>
        <w:t>Dados: situação, vencimento e recebimentos conciliados. Separar vendido, recebido e a receber, inclusive pagamentos parciais. Mostrar pendências para revisão, sem enviar cobranças automaticamente. Atalho: Resultados e relatórios.</w:t>
      </w:r>
    </w:p>
    <w:p>
      <w:pPr>
        <w:pStyle w:val="Heading2"/>
      </w:pPr>
      <w:r>
        <w:t>15 Concentração em um comprador</w:t>
      </w:r>
    </w:p>
    <w:p>
      <w:r>
        <w:t>Dados: vendas associadas a clientes identificados. Mostrar a participação dos maiores compradores e a cobertura da identificação. Sugerir diversificar canais quando adequado; vendas anônimas limitam a análise. Atalho: Clientes.</w:t>
      </w:r>
    </w:p>
    <w:p>
      <w:pPr>
        <w:pStyle w:val="Heading2"/>
      </w:pPr>
      <w:r>
        <w:t>16 Despesas do evento que mudam a avaliação</w:t>
      </w:r>
    </w:p>
    <w:p>
      <w:r>
        <w:t>Dados: transporte, inscrição e outras despesas atribuídas ao evento. Mostrar resultado bruto e resultado após despesas registradas separadamente. Evitar conclusão de lucro líquido com cobertura incompleta. Atalho: Resultados e relatórios.</w:t>
      </w:r>
    </w:p>
    <w:p>
      <w:r>
        <w:br w:type="page"/>
      </w:r>
    </w:p>
    <w:p>
      <w:pPr>
        <w:pStyle w:val="Heading1"/>
      </w:pPr>
      <w:r>
        <w:t>Insights sobre clientes e oportunidades de venda</w:t>
      </w:r>
    </w:p>
    <w:p>
      <w:pPr>
        <w:pStyle w:val="Heading2"/>
      </w:pPr>
      <w:r>
        <w:t>17 Clientes que voltam</w:t>
      </w:r>
    </w:p>
    <w:p>
      <w:r>
        <w:t>Dados: compras identificadas em mais de uma data e período definido. Mostrar frequência e intervalo observado. Sugerir facilitar a recompra dos produtos habituais, sem inventar preferências. Atalho: Clientes.</w:t>
      </w:r>
    </w:p>
    <w:p>
      <w:pPr>
        <w:pStyle w:val="Heading2"/>
      </w:pPr>
      <w:r>
        <w:t>18 Possível momento de recompra</w:t>
      </w:r>
    </w:p>
    <w:p>
      <w:r>
        <w:t>Dados: intervalos de compras de um mesmo cliente com histórico suficiente. Sugerir um lembrete para revisão do produtor. Comunicar apenas com autorização e consentimento aplicáveis. Atalho: Clientes.</w:t>
      </w:r>
    </w:p>
    <w:p>
      <w:pPr>
        <w:pStyle w:val="Heading2"/>
      </w:pPr>
      <w:r>
        <w:t>19 Produtos comprados juntos</w:t>
      </w:r>
    </w:p>
    <w:p>
      <w:r>
        <w:t>Dados: itens presentes na mesma venda. Identificar pares recorrentes e testar exposição conjunta. Informar quantas vendas sustentam o padrão; poucas ocorrências são apenas sinal exploratório. Atalho: Gestão.</w:t>
      </w:r>
    </w:p>
    <w:p>
      <w:pPr>
        <w:pStyle w:val="Heading2"/>
      </w:pPr>
      <w:r>
        <w:t>20 Combinação com preço viável</w:t>
      </w:r>
    </w:p>
    <w:p>
      <w:r>
        <w:t>Dados: preço, custo, desconto e disponibilidade dos componentes. Simular um conjunto e mostrar resultado por conjunto. Comparar com a venda separada sob premissas explícitas, sem prometer aumento de demanda. Atalho: Produtos.</w:t>
      </w:r>
    </w:p>
    <w:p>
      <w:pPr>
        <w:pStyle w:val="Heading2"/>
      </w:pPr>
      <w:r>
        <w:t>21 Tamanho da compra por perfil</w:t>
      </w:r>
    </w:p>
    <w:p>
      <w:r>
        <w:t>Dados: valor e número de vendas por PF, CNPJ ou perfil não informado. Comparar ticket e composição. Não confundir compra empresarial com evento, pois uma venda pode ter as duas características. Atalho: Origem das vendas.</w:t>
      </w:r>
    </w:p>
    <w:p>
      <w:pPr>
        <w:pStyle w:val="Heading2"/>
      </w:pPr>
      <w:r>
        <w:t>22 Localidades com compras recorrentes</w:t>
      </w:r>
    </w:p>
    <w:p>
      <w:r>
        <w:t>Dados: localidade informada e compras identificadas. Mostrar concentração e possível oportunidade de retirada ou entrega agrupada. Exigir custos logísticos antes de afirmar que a entrega compensa. Atalho: Clientes.</w:t>
      </w:r>
    </w:p>
    <w:p>
      <w:pPr>
        <w:pStyle w:val="Heading2"/>
      </w:pPr>
      <w:r>
        <w:t>23 Interesse registrado sem compra</w:t>
      </w:r>
    </w:p>
    <w:p>
      <w:r>
        <w:t>Dados: pedido não atendido, motivo e produto solicitado. Diferenciar falta de estoque, apresentação indisponível e desistência. Testar a oferta mais solicitada; não deduzir rejeição apenas da ausência de venda. Atalho: Gestão.</w:t>
      </w:r>
    </w:p>
    <w:p>
      <w:pPr>
        <w:pStyle w:val="Heading2"/>
      </w:pPr>
      <w:r>
        <w:t>24 Encomendas para reduzir incerteza</w:t>
      </w:r>
    </w:p>
    <w:p>
      <w:r>
        <w:t>Dados: encomendas confirmadas, prazos, capacidade e estoque reservado. Sugerir um lote apoiado em pedidos confirmados. Separar intenção de compra de encomenda efetiva e evitar dupla reserva. Atalho: Gestão e Estoque.</w:t>
      </w:r>
    </w:p>
    <w:p>
      <w:r>
        <w:br w:type="page"/>
      </w:r>
    </w:p>
    <w:p>
      <w:pPr>
        <w:pStyle w:val="Heading1"/>
      </w:pPr>
      <w:r>
        <w:t>Insights sobre tempo e planejamento</w:t>
      </w:r>
    </w:p>
    <w:p>
      <w:pPr>
        <w:pStyle w:val="Heading2"/>
      </w:pPr>
      <w:r>
        <w:t>25 Horário de maior movimento registrado</w:t>
      </w:r>
    </w:p>
    <w:p>
      <w:r>
        <w:t>Dados: vendas com hora, duração e disponibilidade. Mostrar pico de transações, receita e resultado em medidas separadas. Sugerir preparar atendimento e reposição; não chamar de maior fluxo de visitantes. Atalho: Gestão.</w:t>
      </w:r>
    </w:p>
    <w:p>
      <w:pPr>
        <w:pStyle w:val="Heading2"/>
      </w:pPr>
      <w:r>
        <w:t>26 Produtividade por hora de evento</w:t>
      </w:r>
    </w:p>
    <w:p>
      <w:r>
        <w:t>Dados: duração efetiva, receita e resultado. Comparar eventos também por hora, além dos totais. Considerar preparação e deslocamento quando registrados. Atalho: Resultados e relatórios.</w:t>
      </w:r>
    </w:p>
    <w:p>
      <w:pPr>
        <w:pStyle w:val="Heading2"/>
      </w:pPr>
      <w:r>
        <w:t>27 Eventos que merecem nova participação</w:t>
      </w:r>
    </w:p>
    <w:p>
      <w:r>
        <w:t>Dados: eventos comparáveis, custos, duração e perfil do público registrado. Mostrar critérios e diferenças. Sugerir nova participação como hipótese de planejamento, sem assegurar repetição do desempenho. Atalho: Gestão.</w:t>
      </w:r>
    </w:p>
    <w:p>
      <w:pPr>
        <w:pStyle w:val="Heading2"/>
      </w:pPr>
      <w:r>
        <w:t>28 Chuva e vendas observadas</w:t>
      </w:r>
    </w:p>
    <w:p>
      <w:r>
        <w:t>Dados: condição climática registrada ou fonte vinculada, horário e eventos comparáveis. Mostrar associação com suas limitações. Investigar duração, público e oferta antes de atribuir a queda à chuva. Atalho: Gestão.</w:t>
      </w:r>
    </w:p>
    <w:p>
      <w:pPr>
        <w:pStyle w:val="Heading2"/>
      </w:pPr>
      <w:r>
        <w:t>29 Proposta de lote para a próxima feira</w:t>
      </w:r>
    </w:p>
    <w:p>
      <w:r>
        <w:t>Dados: histórico comparável, estoque, validade, reservas e capacidade. Sugerir faixa de quantidade por variação, com premissas e risco de sobra ou falta. Sem histórico, propor teste pequeno revisável. Atalho: Gestão.</w:t>
      </w:r>
    </w:p>
    <w:p>
      <w:pPr>
        <w:pStyle w:val="Heading2"/>
      </w:pPr>
      <w:r>
        <w:t>30 Capital comprometido em estoque</w:t>
      </w:r>
    </w:p>
    <w:p>
      <w:r>
        <w:t>Dados: estoque disponível valorizado a custo, idade e movimentação. Mostrar onde se concentra o valor e sugerir revisão de reposições. Não confundir estoque com dinheiro disponível. Atalho: Estoque.</w:t>
      </w:r>
    </w:p>
    <w:p>
      <w:pPr>
        <w:pStyle w:val="Heading2"/>
      </w:pPr>
      <w:r>
        <w:t>31 Teste anterior ainda sem avaliação</w:t>
      </w:r>
    </w:p>
    <w:p>
      <w:r>
        <w:t>Dados: hipótese, ação planejada, evento, medida e resultado. Lembrar de comparar o teste concluído antes de abrir outro semelhante. Registrar contexto e mudanças simultâneas que dificultam a interpretação. Atalho: Gestão → cérebro.</w:t>
      </w:r>
    </w:p>
    <w:p>
      <w:pPr>
        <w:pStyle w:val="Heading2"/>
      </w:pPr>
      <w:r>
        <w:t>32 Qualidade dos registros antes da recomendação</w:t>
      </w:r>
    </w:p>
    <w:p>
      <w:r>
        <w:t>Dados: campos obrigatórios, duplicidades, datas e conciliação. Priorizar correção de erros que alteram totais. Se não houver evidência suficiente, apresentar a pergunta necessária em lugar de uma recomendação definitiva. Atalho: Tela do registro afetado.</w:t>
      </w:r>
    </w:p>
    <w:p>
      <w:r>
        <w:br w:type="page"/>
      </w:r>
    </w:p>
    <w:p>
      <w:pPr>
        <w:pStyle w:val="Heading1"/>
      </w:pPr>
      <w:r>
        <w:t>Exemplo e instruções para a inteligência</w:t>
      </w:r>
    </w:p>
    <w:p>
      <w:pPr>
        <w:pStyle w:val="Heading2"/>
      </w:pPr>
      <w:r>
        <w:t>6 Exemplo completo de uma análise simulada</w:t>
      </w:r>
    </w:p>
    <w:p>
      <w:r>
        <w:t>Escopo: uma feira fictícia, sem reposições, perdas ou devoluções. Produto: café moído de 500 g. Quantidade levada: 20 pacotes. Vendida: 8. Restante: 12. Preço por pacote: R$ 25,00. Custo por pacote: R$ 15,00. Sem descontos.</w:t>
      </w:r>
    </w:p>
    <w:p>
      <w:r>
        <w:t>Resumo calculado: receita de R$ 200,00; custo dos itens vendidos de R$ 120,00; resultado bruto de R$ 80,00. Taxa de venda de 40% e sobra de 60%. Estoque restante a custo de R$ 180,00 e valor potencial de venda de R$ 300,00. Despesas do evento não incluídas.</w:t>
      </w:r>
    </w:p>
    <w:p>
      <w:r>
        <w:t>Cartão em Gestão → cérebro: Você vendeu 8 de 20 pacotes e voltou com 12. Vale acompanhar a quantidade levada. Ver explicação mostra que excesso de oferta é uma hipótese; uma feira isolada não comprova baixa procura.</w:t>
      </w:r>
    </w:p>
    <w:p>
      <w:r>
        <w:t>Teste sugerido: levar 15 pacotes a uma feira semelhante, se a validade e o planejamento permitirem. Registrar as condições do evento e acompanhar taxa de venda, resultado bruto e horário de eventual falta. Quinze é uma quantidade experimental escolhida para o teste, não uma previsão matemática de demanda.</w:t>
      </w:r>
    </w:p>
    <w:p>
      <w:pPr>
        <w:pStyle w:val="Heading2"/>
      </w:pPr>
      <w:r>
        <w:t>7 Instrução para inserir na memória do app</w:t>
      </w:r>
    </w:p>
    <w:p>
      <w:r>
        <w:t>Você interpreta registros do produtor e ajuda a planejar ações verificáveis. Use exclusivamente os dados disponíveis no escopo selecionado. Apresente fato, hipótese, ação sugerida e forma de avaliar. Informe lacunas e a base da comparação. Nunca invente custos, clientes, causas, recebimentos ou demanda perdida. Mantenha a identificação de simulação quando houver dados fictícios.</w:t>
      </w:r>
    </w:p>
    <w:p>
      <w:r>
        <w:t>Receba os cálculos do sistema e confira sua coerência antes de explicá-los. Diferencie receita, recebimento, resultado bruto, despesas registradas e valor do estoque. Não some unidades incompatíveis. Considere cada variação separadamente e apresente totais conciliados. Não misture eventos ou perfis de compradores em categorias mutuamente exclusivas.</w:t>
      </w:r>
    </w:p>
    <w:p>
      <w:r>
        <w:t>Priorize até três orientações por vez: primeiro inconsistências e prazos relevantes; depois oportunidades sustentadas por dados. Agrupe alertas semelhantes, evite repetições e permita consultar todos. Use linguagem respeitosa e direta. Se faltar evidência, faça uma pergunta curta e específica. Não atribua notas de confiança numéricas sem método validado.</w:t>
      </w:r>
    </w:p>
    <w:p>
      <w:r>
        <w:t>Ao planejar um teste, registre produto, hipótese, ação, medida, período e critério de avaliação antes da execução. Ofereça Planejar próximo teste, Ver dados, Corrigir registro e Não se aplica conforme o caso. Alterações e contatos com clientes dependem de ação explícita do usuário.</w:t>
      </w:r>
    </w:p>
    <w:p>
      <w:pPr>
        <w:pStyle w:val="Heading2"/>
      </w:pPr>
      <w:r>
        <w:t>8 Critérios para conferir a implementação</w:t>
      </w:r>
    </w:p>
    <w:p>
      <w:r>
        <w:t>O resumo deve fechar por item e no total; custos ausentes devem impedir resultado completo; filtros devem preservar o mesmo escopo em todas as telas. O teste de café deve reproduzir os valores acima. Dados fictícios devem continuar sinalizados na exportação. Sem base suficiente, o sistema deve mostrar a limitação, sem fabricar um insight. Avaliar também devoluções, reposições e pagamentos parciais.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Diretrizes de inteligência para o Território Gestão</dc:title>
  <dc:subject>Método de análise e catálogo de insights para produtores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