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Diretrizes financeiras para a inteligência do app do produtor</w:t>
      </w:r>
    </w:p>
    <w:p>
      <w:r>
        <w:rPr>
          <w:color w:val="000000"/>
        </w:rPr>
        <w:t>Resumo de feira e de dia por produto e orientação para decisões</w:t>
      </w:r>
    </w:p>
    <w:p>
      <w:r>
        <w:rPr>
          <w:color w:val="000000"/>
        </w:rPr>
        <w:t>Versão 1.0 • 15 de outubro de 2026 • Documento de referência para inserir no contexto do Codex e na base de conhecimento do aplicativo</w:t>
      </w:r>
    </w:p>
    <w:p>
      <w:pPr>
        <w:pStyle w:val="Heading2"/>
      </w:pPr>
      <w:r>
        <w:rPr>
          <w:color w:val="000000"/>
        </w:rPr>
        <w:t>Finalidade</w:t>
      </w:r>
    </w:p>
    <w:p>
      <w:r>
        <w:rPr>
          <w:color w:val="000000"/>
        </w:rPr>
        <w:t>Ao encerrar uma feira ou um dia, o produtor deve entender rapidamente o que vendeu, quanto faturou, quanto custaram os produtos vendidos, o que restou e como recebeu. Cada produto e cada variação precisam aparecer em uma linha própria, com subtotais e total geral conferidos.</w:t>
      </w:r>
    </w:p>
    <w:p>
      <w:r>
        <w:rPr>
          <w:color w:val="000000"/>
        </w:rPr>
        <w:t>Este documento especifica o comportamento desejado do sistema. Não pressupõe acesso ao código atual. A implementação deverá conectar estas regras aos registros reais de vendas, estoque, clientes e pagamentos.</w:t>
      </w:r>
    </w:p>
    <w:p>
      <w:pPr>
        <w:pStyle w:val="Heading2"/>
      </w:pPr>
      <w:r>
        <w:rPr>
          <w:color w:val="000000"/>
        </w:rPr>
        <w:t>Distribuição das informações no app</w:t>
      </w:r>
    </w:p>
    <w:tbl>
      <w:tblPr>
        <w:tblW w:type="auto" w:w="0"/>
        <w:tblLayout w:type="fixed"/>
        <w:tblLook w:firstColumn="1" w:firstRow="1" w:lastColumn="0" w:lastRow="0" w:noHBand="0" w:noVBand="1" w:val="04A0"/>
      </w:tblPr>
      <w:tblGrid>
        <w:gridCol w:w="2376"/>
        <w:gridCol w:w="7848"/>
      </w:tblGrid>
      <w:tr>
        <w:trPr>
          <w:tblHeader/>
        </w:trP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Local</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Comportamento esperado</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Produtos — ícone de papel no topo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Abrir o resumo rápido da feira ou do dia selecionado. Mostrar linhas por variação, totais, recebimentos e até três orientações curtas.</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Gestão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Concentrar indicadores completos, evolução, comparações, filtros, margens, fluxo de caixa, perdas, taxas, despesas e relatórios detalhados.</w:t>
            </w:r>
          </w:p>
        </w:tc>
      </w:tr>
    </w:tbl>
    <w:p>
      <w:pPr>
        <w:spacing w:after="0"/>
      </w:pPr>
    </w:p>
    <w:p>
      <w:pPr>
        <w:pStyle w:val="Heading2"/>
      </w:pPr>
      <w:r>
        <w:rPr>
          <w:color w:val="000000"/>
        </w:rPr>
        <w:t>Regra central sobre lucro</w:t>
      </w:r>
    </w:p>
    <w:p>
      <w:r>
        <w:rPr>
          <w:color w:val="000000"/>
        </w:rPr>
        <w:t>A receita das vendas menos o custo dos produtos efetivamente vendidos será apresentada como lucro bruto dos produtos. Esse é o resultado básico solicitado. Taxas, despesas de feira, transporte, tributos e outros gastos podem reduzir a sobra final. O app não deve chamar o lucro bruto de lucro líquido nem de dinheiro disponível.</w:t>
      </w:r>
    </w:p>
    <w:p>
      <w:pPr>
        <w:pStyle w:val="Heading2"/>
      </w:pPr>
      <w:r>
        <w:rPr>
          <w:color w:val="000000"/>
        </w:rPr>
        <w:t>Regra central sobre a inteligência</w:t>
      </w:r>
    </w:p>
    <w:p>
      <w:r>
        <w:rPr>
          <w:color w:val="000000"/>
        </w:rPr>
        <w:t>O motor financeiro calcula; a inteligência explica. Números oficiais do app devem vir de cálculos determinísticos sobre registros identificáveis. O modelo de linguagem não deve inventar valores, completar custos ausentes com zero nem alterar registros para fazer os totais coincidirem.</w:t>
      </w:r>
    </w:p>
    <w:p>
      <w:pPr>
        <w:pStyle w:val="Heading2"/>
      </w:pPr>
      <w:r>
        <w:rPr>
          <w:color w:val="000000"/>
        </w:rPr>
        <w:t>Prioridade de implantação</w:t>
      </w:r>
    </w:p>
    <w:p>
      <w:r>
        <w:rPr>
          <w:color w:val="000000"/>
        </w:rPr>
        <w:t>Primeiro, corrigir o resumo por variação e os totais de vendas e estoque. Depois, conciliar comprador e pagamentos. Por fim, acrescentar horários, alertas e recomendações baseadas em histórico comparável.</w:t>
      </w:r>
    </w:p>
    <w:p>
      <w:r>
        <w:rPr>
          <w:color w:val="000000"/>
        </w:rPr>
        <w:br w:type="page"/>
      </w:r>
    </w:p>
    <w:p>
      <w:pPr>
        <w:pStyle w:val="Heading1"/>
      </w:pPr>
      <w:r>
        <w:rPr>
          <w:color w:val="000000"/>
        </w:rPr>
        <w:t>1 Dados necessários para um resumo confiável</w:t>
      </w:r>
    </w:p>
    <w:p>
      <w:pPr>
        <w:pStyle w:val="Heading2"/>
      </w:pPr>
      <w:r>
        <w:rPr>
          <w:color w:val="000000"/>
        </w:rPr>
        <w:t>Produtos e estoque</w:t>
      </w:r>
    </w:p>
    <w:p>
      <w:r>
        <w:rPr>
          <w:color w:val="000000"/>
        </w:rPr>
        <w:t>Cada variação deve ter identificador próprio, nome, categoria, unidade de venda, embalagem ou peso, preço e custo unitário. Café especial moído 250 g, café em grãos 500 g e café tradicional 500 g são três registros distintos. Mudança de nome não deve romper o histórico do identificador.</w:t>
      </w:r>
    </w:p>
    <w:p>
      <w:r>
        <w:rPr>
          <w:color w:val="000000"/>
        </w:rPr>
        <w:t>Toda entrada deve registrar quantidade, custo, data, lote quando aplicável e origem. Para produção própria, o custo deve refletir os componentes de produção informados, como insumos, embalagem e mão de obra. Marcar custo estimado e evitar incluir novamente uma despesa já incorporada ao produto.</w:t>
      </w:r>
    </w:p>
    <w:p>
      <w:r>
        <w:rPr>
          <w:color w:val="000000"/>
        </w:rPr>
        <w:t>Quando um mesmo item receber lotes a custos diferentes, adotar custo médio ponderado móvel como regra gerencial inicial. Itens de natureza específica podem exigir custo identificado. Preservar o método e registrar mudanças, sem reescrever o resultado histórico das vendas.</w:t>
      </w:r>
    </w:p>
    <w:p>
      <w:pPr>
        <w:pStyle w:val="Heading2"/>
      </w:pPr>
      <w:r>
        <w:rPr>
          <w:color w:val="000000"/>
        </w:rPr>
        <w:t>Vendas e compradores</w:t>
      </w:r>
    </w:p>
    <w:p>
      <w:r>
        <w:rPr>
          <w:color w:val="000000"/>
        </w:rPr>
        <w:t>Registrar identificador da venda e de cada linha, produtor responsável, data e hora, fuso, origem da venda, evento quando houver, variação, quantidade, unidade, preço praticado, descontos e custo unitário aplicado no momento da saída. Registrar cancelamentos e devoluções vinculados à operação original.</w:t>
      </w:r>
    </w:p>
    <w:p>
      <w:r>
        <w:rPr>
          <w:color w:val="000000"/>
        </w:rPr>
        <w:t>Separar duas dimensões: origem da venda — feira, PF individual ou empresa individual — e tipo de comprador — pessoa física, pessoa jurídica ou não informado. Dentro de uma feira pode haver comprador PF ou PJ. Não inferir PJ apenas por nome comercial, valor alto ou forma de pagamento.</w:t>
      </w:r>
    </w:p>
    <w:p>
      <w:pPr>
        <w:pStyle w:val="Heading2"/>
      </w:pPr>
      <w:r>
        <w:rPr>
          <w:color w:val="000000"/>
        </w:rPr>
        <w:t>Pagamentos e despesas</w:t>
      </w:r>
    </w:p>
    <w:p>
      <w:r>
        <w:rPr>
          <w:color w:val="000000"/>
        </w:rPr>
        <w:t>Permitir pagamentos divididos. Para cada parcela, registrar método, valor bruto destinado à quitação, taxa, valor líquido, situação, vencimento e data de liquidação. Métodos: Pix, dinheiro, débito, crédito, transferência e outros configurados. “A prazo” é condição de recebimento, não método.</w:t>
      </w:r>
    </w:p>
    <w:p>
      <w:r>
        <w:rPr>
          <w:color w:val="000000"/>
        </w:rPr>
        <w:t>Registrar despesas por evento ou período, categoria, valor, situação de pagamento e vínculo com o produto ou a venda quando existir. Distinguir valor zero confirmado de valor ainda não informado. Registrar devoluções financeiras e retenções separadamente.</w:t>
      </w:r>
    </w:p>
    <w:p>
      <w:pPr>
        <w:pStyle w:val="Heading2"/>
      </w:pPr>
      <w:r>
        <w:rPr>
          <w:color w:val="000000"/>
        </w:rPr>
        <w:t>Recorte e rastreabilidade</w:t>
      </w:r>
    </w:p>
    <w:p>
      <w:r>
        <w:rPr>
          <w:color w:val="000000"/>
        </w:rPr>
        <w:t>Exibir período, nome da feira ou “Venda individual”, produtor e horário da última atualização. Usar o fuso configurado do produtor, com padrão America/Sao_Paulo. Internamente, filtrar intervalos com início incluído e fim excluído para não duplicar vendas na virada do dia.</w:t>
      </w:r>
    </w:p>
    <w:p>
      <w:r>
        <w:rPr>
          <w:color w:val="000000"/>
        </w:rPr>
        <w:t>Vendas contam quando confirmadas; recebimentos contam quando liquidados. Um resumo de evento filtra pelo identificador do evento, não apenas pela data. Um resumo diário pode incluir feira e vendas individuais, sem duplicação. Carrinhos, rascunhos e vendas canceladas não geram faturamento.</w:t>
      </w:r>
    </w:p>
    <w:p>
      <w:r>
        <w:rPr>
          <w:color w:val="000000"/>
        </w:rPr>
        <w:br w:type="page"/>
      </w:r>
    </w:p>
    <w:p>
      <w:pPr>
        <w:pStyle w:val="Heading1"/>
      </w:pPr>
      <w:r>
        <w:rPr>
          <w:color w:val="000000"/>
        </w:rPr>
        <w:t>2 Regras de cálculo e nomenclatura</w:t>
      </w:r>
    </w:p>
    <w:tbl>
      <w:tblPr>
        <w:tblW w:type="auto" w:w="0"/>
        <w:tblLayout w:type="fixed"/>
        <w:tblLook w:firstColumn="1" w:firstRow="1" w:lastColumn="0" w:lastRow="0" w:noHBand="0" w:noVBand="1" w:val="04A0"/>
      </w:tblPr>
      <w:tblGrid>
        <w:gridCol w:w="2376"/>
        <w:gridCol w:w="7848"/>
      </w:tblGrid>
      <w:tr>
        <w:trPr>
          <w:tblHeader/>
        </w:trP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Indicador</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Regra gerencial obrigatória</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Faturamento de cada variação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Somar quantidade × preço praticado; subtrair descontos atribuídos e devoluções de venda. Exibir como “Vendas após descontos e devoluções”, antes de tributos sobre vendas.</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Custo dos produtos vendidos</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Somar quantidade vendida × custo unitário histórico. Reverter o custo original da devolução; tratar separadamente a condição física do item devolvido.</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Lucro bruto dos produtos</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Vendas após descontos e devoluções menos custo dos produtos vendidos. Se faltarem custos, apresentar resultado parcial e cobertura, sem lucro total definitivo.</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Margem bruta</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Lucro bruto ÷ vendas após descontos e devoluções × 100. Com receita zero, exibir “Não se aplica”. Não confundir margem com acréscimo sobre o custo.</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Sobra após gastos registrados</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Lucro bruto menos taxas, tributos configurados, despesas do recorte, perdas e outros gastos aplicáveis, sem dupla contagem. Informar pendências; não chamar automaticamente de lucro líquido.</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Estoque restante a custo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Quantidade final de cada variação × custo de avaliação do saldo. Somar valores monetários das variações. Estoque não vendido não é receita nem perda automática.</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Potencial de venda do saldo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Quantidade disponível × preço vigente no fechamento. É uma estimativa bruta, não recebimento nem lucro garantido.</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Valor a receber</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Saldos de vendas ainda não quitados e valores em processamento, com apresentação separada das taxas e do líquido previsto. Não somar novamente às vendas.</w:t>
            </w:r>
          </w:p>
        </w:tc>
      </w:tr>
    </w:tbl>
    <w:p>
      <w:pPr>
        <w:spacing w:after="0"/>
      </w:pPr>
    </w:p>
    <w:p>
      <w:pPr>
        <w:pStyle w:val="Heading2"/>
      </w:pPr>
      <w:r>
        <w:rPr>
          <w:color w:val="000000"/>
        </w:rPr>
        <w:t>Rateio de descontos</w:t>
      </w:r>
    </w:p>
    <w:p>
      <w:r>
        <w:rPr>
          <w:color w:val="000000"/>
        </w:rPr>
        <w:t>Distribuir desconto da venda proporcionalmente ao valor bruto das linhas elegíveis. O desconto de uma linha não pode ultrapassar seu valor. Distribuir diferenças de centavos de modo determinístico, de forma que a soma das linhas seja exatamente igual ao total da venda.</w:t>
      </w:r>
    </w:p>
    <w:p>
      <w:pPr>
        <w:pStyle w:val="Heading2"/>
      </w:pPr>
      <w:r>
        <w:rPr>
          <w:color w:val="000000"/>
        </w:rPr>
        <w:t>Conferência do estoque</w:t>
      </w:r>
    </w:p>
    <w:p>
      <w:r>
        <w:rPr>
          <w:color w:val="000000"/>
        </w:rPr>
        <w:t>Saldo final = saldo inicial + entradas + devoluções aptas a voltar ao estoque − vendas − perdas − doações ou consumo próprio ± transferências e ajustes. Transferências entre locais não criam faturamento. Devolução imprópria para venda vai para perda ou quarentena, sem aumentar o disponível.</w:t>
      </w:r>
    </w:p>
    <w:p>
      <w:r>
        <w:rPr>
          <w:color w:val="000000"/>
        </w:rPr>
        <w:t>Na feira, distinguir quantidade levada ou alocada ao evento do estoque geral. Com estoque único, não inventar uma alocação: mostrar “Saldo geral” quando não houver controle de carga da feira. Fotografar o saldo no fechamento evita que movimentos posteriores alterem o relatório encerrado.</w:t>
      </w:r>
    </w:p>
    <w:p>
      <w:r>
        <w:rPr>
          <w:color w:val="000000"/>
        </w:rPr>
        <w:br w:type="page"/>
      </w:r>
    </w:p>
    <w:p>
      <w:pPr>
        <w:pStyle w:val="Heading1"/>
      </w:pPr>
      <w:r>
        <w:rPr>
          <w:color w:val="000000"/>
        </w:rPr>
        <w:t>3 Modelo do resumo rápido no ícone de papel</w:t>
      </w:r>
    </w:p>
    <w:p>
      <w:r>
        <w:rPr>
          <w:color w:val="000000"/>
        </w:rPr>
        <w:t>Exemplo fictício • Feira de sábado • 08h às 13h • Somente pacotes de café • Custos completos • Sem descontos, devoluções ou perdas. A ordem de leitura abaixo deve ser preservada na tela e na exportação.</w:t>
      </w:r>
    </w:p>
    <w:p>
      <w:pPr>
        <w:pStyle w:val="Heading2"/>
      </w:pPr>
      <w:r>
        <w:rPr>
          <w:color w:val="000000"/>
        </w:rPr>
        <w:t>Vendido por produto</w:t>
      </w:r>
    </w:p>
    <w:tbl>
      <w:tblPr>
        <w:tblW w:type="auto" w:w="0"/>
        <w:tblLayout w:type="fixed"/>
        <w:tblLook w:firstColumn="1" w:firstRow="1" w:lastColumn="0" w:lastRow="0" w:noHBand="0" w:noVBand="1" w:val="04A0"/>
      </w:tblPr>
      <w:tblGrid>
        <w:gridCol w:w="3816"/>
        <w:gridCol w:w="936"/>
        <w:gridCol w:w="1368"/>
        <w:gridCol w:w="1440"/>
        <w:gridCol w:w="2664"/>
      </w:tblGrid>
      <w:tr>
        <w:trPr>
          <w:tblHeader/>
        </w:trP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Produto ou variação</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Qtd.</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Vendas</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Custo vendido</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Lucro bruto</w:t>
            </w:r>
          </w:p>
        </w:tc>
      </w:tr>
      <w:t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Especial moído 250 g</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10 un.</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R$ 250,00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R$ 140,00</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R$ 110,00</w:t>
            </w:r>
          </w:p>
        </w:tc>
      </w:tr>
      <w:t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Especial em grãos 500 g</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6 un.</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R$ 270,00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R$ 168,00</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R$ 102,00</w:t>
            </w:r>
          </w:p>
        </w:tc>
      </w:tr>
      <w:t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Tradicional 500 g</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8 un.</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R$ 160,00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R$ 104,00</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R$ 56,00</w:t>
            </w:r>
          </w:p>
        </w:tc>
      </w:tr>
      <w:t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TOTAL</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24 un.</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R$ 680,00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R$ 412,00</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R$ 268,00</w:t>
            </w:r>
          </w:p>
        </w:tc>
      </w:tr>
    </w:tbl>
    <w:p>
      <w:pPr>
        <w:spacing w:after="0"/>
      </w:pPr>
    </w:p>
    <w:p>
      <w:pPr>
        <w:pStyle w:val="Heading2"/>
      </w:pPr>
      <w:r>
        <w:rPr>
          <w:color w:val="000000"/>
        </w:rPr>
        <w:t>O que restou</w:t>
      </w:r>
    </w:p>
    <w:tbl>
      <w:tblPr>
        <w:tblW w:type="auto" w:w="0"/>
        <w:tblLayout w:type="fixed"/>
        <w:tblLook w:firstColumn="1" w:firstRow="1" w:lastColumn="0" w:lastRow="0" w:noHBand="0" w:noVBand="1" w:val="04A0"/>
      </w:tblPr>
      <w:tblGrid>
        <w:gridCol w:w="3816"/>
        <w:gridCol w:w="936"/>
        <w:gridCol w:w="2160"/>
        <w:gridCol w:w="3312"/>
      </w:tblGrid>
      <w:tr>
        <w:trPr>
          <w:tblHeader/>
        </w:trP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Produto ou variação</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Saldo</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A custo</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Potencial de venda</w:t>
            </w:r>
          </w:p>
        </w:tc>
      </w:tr>
      <w:t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Especial moído 250 g</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5 un.</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R$ 70,00</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R$ 125,00</w:t>
            </w:r>
          </w:p>
        </w:tc>
      </w:tr>
      <w:t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Especial em grãos 500 g</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4 un.</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R$ 112,00</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R$ 180,00</w:t>
            </w:r>
          </w:p>
        </w:tc>
      </w:tr>
      <w:t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Tradicional 500 g</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12 un.</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R$ 156,00</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R$ 240,00</w:t>
            </w:r>
          </w:p>
        </w:tc>
      </w:tr>
      <w:t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Arábica gourmet 250 g</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4 un.</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R$ 48,00</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R$ 88,00</w:t>
            </w:r>
          </w:p>
        </w:tc>
      </w:tr>
      <w:tr>
        <w:tc>
          <w:tcPr>
            <w:tcW w:type="dxa" w:w="381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TOTAL</w:t>
            </w:r>
          </w:p>
        </w:tc>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25 un.</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R$ 386,00</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R$ 633,00</w:t>
            </w:r>
          </w:p>
        </w:tc>
      </w:tr>
    </w:tbl>
    <w:p>
      <w:pPr>
        <w:spacing w:after="0"/>
      </w:pPr>
    </w:p>
    <w:p>
      <w:r>
        <w:rPr>
          <w:color w:val="000000"/>
        </w:rPr>
        <w:t>O arábica gourmet não teve venda e deve aparecer no saldo. Os demais produtos tiveram venda parcial. A tela pode separar “Sem nenhuma venda” e “Saldo dos vendidos”, mas o total final deve abranger ambos, sem repetir itens.</w:t>
      </w:r>
    </w:p>
    <w:p>
      <w:pPr>
        <w:pStyle w:val="Heading2"/>
      </w:pPr>
      <w:r>
        <w:rPr>
          <w:color w:val="000000"/>
        </w:rPr>
        <w:t>Compradores e pagamentos</w:t>
      </w:r>
    </w:p>
    <w:p>
      <w:r>
        <w:rPr>
          <w:color w:val="000000"/>
        </w:rPr>
        <w:t>Compradores: PF R$ 500,00 • PJ R$ 180,00 • Não informado R$ 0,00. Total R$ 680,00. Exibir número de vendas por tipo quando o dado existir; não confundir número de vendas com número de compradores únicos.</w:t>
      </w:r>
    </w:p>
    <w:p>
      <w:r>
        <w:rPr>
          <w:color w:val="000000"/>
        </w:rPr>
        <w:t>Composição dos valores: Pix liquidado R$ 300,00; dinheiro R$ 160,00; crédito em processamento R$ 150,00; venda a prazo R$ 70,00. Quitado pelo comprador R$ 610,00; ainda devido pelo comprador R$ 70,00. Total vendido R$ 680,00.</w:t>
      </w:r>
    </w:p>
    <w:p>
      <w:r>
        <w:rPr>
          <w:color w:val="000000"/>
        </w:rPr>
        <w:t>Disponível recebido: R$ 460,00. A entrar: cartão R$ 145,50 líquidos, após taxa de R$ 4,50, mais R$ 70,00 a prazo. Para conferir as vendas, usar o cartão pelo bruto de R$ 150,00; não somar seu líquido novamente ao faturamento.</w:t>
      </w:r>
    </w:p>
    <w:p>
      <w:pPr>
        <w:pStyle w:val="Heading2"/>
      </w:pPr>
      <w:r>
        <w:rPr>
          <w:color w:val="000000"/>
        </w:rPr>
        <w:t>Leitura final para o produtor</w:t>
      </w:r>
    </w:p>
    <w:p>
      <w:r>
        <w:rPr>
          <w:color w:val="000000"/>
        </w:rPr>
        <w:t>Você vendeu 24 pacotes e faturou R$ 680,00. O custo dos produtos vendidos foi R$ 412,00 e o lucro bruto foi R$ 268,00. Restam 25 pacotes, avaliados a custo em R$ 386,00. A taxa de cartão de R$ 4,50 reduz a sobra para R$ 263,50 antes de outros gastos ainda não informados.</w:t>
      </w:r>
    </w:p>
    <w:p>
      <w:r>
        <w:rPr>
          <w:color w:val="000000"/>
        </w:rPr>
        <w:br w:type="page"/>
      </w:r>
    </w:p>
    <w:p>
      <w:pPr>
        <w:pStyle w:val="Heading1"/>
      </w:pPr>
      <w:r>
        <w:rPr>
          <w:color w:val="000000"/>
        </w:rPr>
        <w:t>4 Estoque e experiência de leitura</w:t>
      </w:r>
    </w:p>
    <w:p>
      <w:pPr>
        <w:pStyle w:val="Heading2"/>
      </w:pPr>
      <w:r>
        <w:rPr>
          <w:color w:val="000000"/>
        </w:rPr>
        <w:t>Mostrar quantidade com a unidade correta</w:t>
      </w:r>
    </w:p>
    <w:p>
      <w:r>
        <w:rPr>
          <w:color w:val="000000"/>
        </w:rPr>
        <w:t>Agrupar quantidades por unidade compatível. Se houver café em pacotes, banana por unidade e queijo por quilo, exibir totais separados. Não apresentar uma soma de quilos, litros, dúzias e unidades como se fosse um único volume. A soma monetária do estoque pode ser geral.</w:t>
      </w:r>
    </w:p>
    <w:p>
      <w:r>
        <w:rPr>
          <w:color w:val="000000"/>
        </w:rPr>
        <w:t>Mostrar produtos esgotados nas vendas realizadas com saldo zero quando necessário para explicar o fechamento. No bloco de saldo, priorizar itens com quantidade positiva. Itens sem venda e sem saldo não precisam ocupar espaço no resumo.</w:t>
      </w:r>
    </w:p>
    <w:p>
      <w:pPr>
        <w:pStyle w:val="Heading2"/>
      </w:pPr>
      <w:r>
        <w:rPr>
          <w:color w:val="000000"/>
        </w:rPr>
        <w:t>Três informações distintas sobre o saldo</w:t>
      </w:r>
    </w:p>
    <w:p>
      <w:r>
        <w:rPr>
          <w:color w:val="000000"/>
        </w:rPr>
        <w:t>Quantidade disponível mostra o que pode ser vendido. Valor a custo mostra o capital aplicado nesse saldo. Potencial de venda mostra o valor bruto que poderia ser faturado aos preços atuais. Nunca usar “lucro em estoque” para nomear qualquer um desses valores.</w:t>
      </w:r>
    </w:p>
    <w:p>
      <w:r>
        <w:rPr>
          <w:color w:val="000000"/>
        </w:rPr>
        <w:t>Para perecíveis, acrescentar vencimento ou vida útil cadastrada, quantidade em risco e lote quando disponíveis. Se o preço recuperável cair abaixo do custo, sinalizar possível desvalorização para avaliação gerencial e contábil. Não aplicar ao produtor rural inteiro uma regra contábil de estoque sem verificar a natureza do ativo.</w:t>
      </w:r>
    </w:p>
    <w:p>
      <w:pPr>
        <w:pStyle w:val="Heading2"/>
      </w:pPr>
      <w:r>
        <w:rPr>
          <w:color w:val="000000"/>
        </w:rPr>
        <w:t>Tela objetiva e completa</w:t>
      </w:r>
    </w:p>
    <w:p>
      <w:r>
        <w:rPr>
          <w:color w:val="000000"/>
        </w:rPr>
        <w:t>O resumo deve ter cabeçalho com recorte, uma síntese curta e tabelas por variação, com total sempre visível. No celular, usar linhas expansíveis ou cartões compactos para custo e lucro, mantendo quantidade e vendas acessíveis. Não esconder itens da soma: uma prévia deve oferecer “Ver todos os produtos”.</w:t>
      </w:r>
    </w:p>
    <w:p>
      <w:r>
        <w:rPr>
          <w:color w:val="000000"/>
        </w:rPr>
        <w:t>Permitir alternar feira e dia, atualizar, compartilhar ou exportar e abrir “Ver detalhes em Gestão”. Ao compartilhar, gerar uma visão sem CPF, CNPJ completo, telefone ou identificação pessoal desnecessária. Mostrar valores em reais, vírgula decimal e unidades legíveis.</w:t>
      </w:r>
    </w:p>
    <w:p>
      <w:pPr>
        <w:pStyle w:val="Heading2"/>
      </w:pPr>
      <w:r>
        <w:rPr>
          <w:color w:val="000000"/>
        </w:rPr>
        <w:t>Fechamento e correções</w:t>
      </w:r>
    </w:p>
    <w:p>
      <w:r>
        <w:rPr>
          <w:color w:val="000000"/>
        </w:rPr>
        <w:t>Distinguir “Em andamento”, “Encerrado” e “Revisado”. Encerramento grava o recorte, a versão das regras, os totais e os registros considerados. Correção posterior gera revisão identificada, preservando a versão anterior. Se o app opera sem conexão, informar quando há vendas ainda não sincronizadas.</w:t>
      </w:r>
    </w:p>
    <w:p>
      <w:pPr>
        <w:pStyle w:val="Heading2"/>
      </w:pPr>
      <w:r>
        <w:rPr>
          <w:color w:val="000000"/>
        </w:rPr>
        <w:t>Conciliações obrigatórias antes de publicar</w:t>
      </w:r>
    </w:p>
    <w:p>
      <w:r>
        <w:rPr>
          <w:color w:val="000000"/>
        </w:rPr>
        <w:t>A soma por produto deve conferir com o total das vendas. A soma por PF, PJ e não informado deve conferir com o mesmo faturamento. Cada venda deve fechar entre pagamentos ou parcelas atribuídos e saldo em aberto; pagamentos divididos não podem duplicar a venda.</w:t>
      </w:r>
    </w:p>
    <w:p>
      <w:r>
        <w:rPr>
          <w:color w:val="000000"/>
        </w:rPr>
        <w:t>O saldo por produto deve conferir com as movimentações. Diferença de estoque físico deve aparecer como divergência, nunca ser escondida em uma venda fictícia. Valores em processamento, troco, taxas, estornos e contas de períodos anteriores devem ter tratamento separado.</w:t>
      </w:r>
    </w:p>
    <w:p>
      <w:r>
        <w:rPr>
          <w:color w:val="000000"/>
        </w:rPr>
        <w:br w:type="page"/>
      </w:r>
    </w:p>
    <w:p>
      <w:pPr>
        <w:pStyle w:val="Heading1"/>
      </w:pPr>
      <w:r>
        <w:rPr>
          <w:color w:val="000000"/>
        </w:rPr>
        <w:t>5 Orientações da inteligência para o produtor</w:t>
      </w:r>
    </w:p>
    <w:p>
      <w:pPr>
        <w:pStyle w:val="Heading2"/>
      </w:pPr>
      <w:r>
        <w:rPr>
          <w:color w:val="000000"/>
        </w:rPr>
        <w:t>Resposta curta baseada em evidência</w:t>
      </w:r>
    </w:p>
    <w:p>
      <w:r>
        <w:rPr>
          <w:color w:val="000000"/>
        </w:rPr>
        <w:t>Após os totais, escrever no máximo três orientações no formato fato observado, interpretação limitada e ação sugerida. Priorizar correção de dados, recebimentos pendentes, risco de perda e oportunidades de resultado. Toda afirmação quantitativa deve corresponder a um indicador calculado e ao mesmo recorte.</w:t>
      </w:r>
    </w:p>
    <w:p>
      <w:pPr>
        <w:pStyle w:val="Heading2"/>
      </w:pPr>
      <w:r>
        <w:rPr>
          <w:color w:val="000000"/>
        </w:rPr>
        <w:t>Melhor horário</w:t>
      </w:r>
    </w:p>
    <w:p>
      <w:r>
        <w:rPr>
          <w:color w:val="000000"/>
        </w:rPr>
        <w:t>Agrupar vendas confirmadas em faixas de uma hora no fuso do produtor. Apresentar “Horário com maior faturamento” e seu valor; se houver custos completos, permitir também “Horário com maior lucro bruto”. Em empate, informar as faixas empatadas. Com nenhuma venda, exibir “Sem vendas no período”.</w:t>
      </w:r>
    </w:p>
    <w:p>
      <w:r>
        <w:rPr>
          <w:color w:val="000000"/>
        </w:rPr>
        <w:t>Uma faixa isolada não prova qual será o melhor horário da próxima feira. Recomendações sobre duração do evento devem comparar períodos de funcionamento completos, dias e feiras semelhantes. Chuva, fluxo de pessoas e motivo da baixa venda só podem ser mencionados se houver dados registrados.</w:t>
      </w:r>
    </w:p>
    <w:p>
      <w:pPr>
        <w:pStyle w:val="Heading2"/>
      </w:pPr>
      <w:r>
        <w:rPr>
          <w:color w:val="000000"/>
        </w:rPr>
        <w:t>Estoque e reposição</w:t>
      </w:r>
    </w:p>
    <w:p>
      <w:r>
        <w:rPr>
          <w:color w:val="000000"/>
        </w:rPr>
        <w:t>Distinguir maior venda em quantidade, maior faturamento e maior lucro bruto. Não afirmar que um item esgotado deixou de vender certa quantidade sem registro de pedidos não atendidos. Recomendar reposição com base em giro, prazo de entrega, validade, saldo e disponibilidade financeira.</w:t>
      </w:r>
    </w:p>
    <w:p>
      <w:r>
        <w:rPr>
          <w:color w:val="000000"/>
        </w:rPr>
        <w:t>Exemplo com os dados fictícios: “O tradicional 500 g teve 8 pacotes vendidos e 12 restantes. Antes de repor, avalie levar parte desse saldo à próxima feira.” Não concluir que há baixa demanda com base em uma única observação.</w:t>
      </w:r>
    </w:p>
    <w:p>
      <w:pPr>
        <w:pStyle w:val="Heading2"/>
      </w:pPr>
      <w:r>
        <w:rPr>
          <w:color w:val="000000"/>
        </w:rPr>
        <w:t>Preços e descontos</w:t>
      </w:r>
    </w:p>
    <w:p>
      <w:r>
        <w:rPr>
          <w:color w:val="000000"/>
        </w:rPr>
        <w:t>Antes de sugerir desconto, calcular seu efeito no lucro bruto e na margem de contribuição quando os gastos variáveis estiverem completos. Considerar perecibilidade e caixa. Não recomendar venda abaixo do custo como ação automática; qualquer estratégia de liquidação deve explicitar a perda prevista e depender da decisão do produtor.</w:t>
      </w:r>
    </w:p>
    <w:p>
      <w:pPr>
        <w:pStyle w:val="Heading2"/>
      </w:pPr>
      <w:r>
        <w:rPr>
          <w:color w:val="000000"/>
        </w:rPr>
        <w:t>Integridade financeira e contábil</w:t>
      </w:r>
    </w:p>
    <w:p>
      <w:r>
        <w:rPr>
          <w:color w:val="000000"/>
        </w:rPr>
        <w:t>Separar finanças pessoais das do negócio. Retirada do produtor reduz caixa, mas não deve virar automaticamente custo do produto. Compra de estoque não é custo integral das vendas do dia: apenas o custo dos itens vendidos entra nessa apuração. Principal de empréstimo não é despesa de venda; juros devem ser classificados separadamente.</w:t>
      </w:r>
    </w:p>
    <w:p>
      <w:r>
        <w:rPr>
          <w:color w:val="000000"/>
        </w:rPr>
        <w:t>Não inventar alíquotas, obrigações fiscais ou enquadramento com base em PF ou CNPJ. Regras fiscais dependem de atividade, localização, operação e regime verificados. A inteligência deve encaminhar casos fiscais e contábeis específicos para validação profissional, mantendo o resumo gerencial disponível.</w:t>
      </w:r>
    </w:p>
    <w:p>
      <w:pPr>
        <w:pStyle w:val="Heading2"/>
      </w:pPr>
      <w:r>
        <w:rPr>
          <w:color w:val="000000"/>
        </w:rPr>
        <w:t>Ausência de informação</w:t>
      </w:r>
    </w:p>
    <w:p>
      <w:r>
        <w:rPr>
          <w:color w:val="000000"/>
        </w:rPr>
        <w:t>Se faltar custo, dizer quantos itens vendidos têm custo conhecido e quanto da receita está coberto. Se faltar comprador, usar “Não informado”. Se faltar despesa ou taxa, declarar “Sobra parcial”. Não tratar campo vazio como zero nem apresentar estimativas como fatos.</w:t>
      </w:r>
    </w:p>
    <w:p>
      <w:r>
        <w:rPr>
          <w:color w:val="000000"/>
        </w:rPr>
        <w:br w:type="page"/>
      </w:r>
    </w:p>
    <w:p>
      <w:pPr>
        <w:pStyle w:val="Heading1"/>
      </w:pPr>
      <w:r>
        <w:rPr>
          <w:color w:val="000000"/>
        </w:rPr>
        <w:t>6 Instrução para a memória e critérios de entrega</w:t>
      </w:r>
    </w:p>
    <w:p>
      <w:pPr>
        <w:pStyle w:val="Heading2"/>
      </w:pPr>
      <w:r>
        <w:rPr>
          <w:color w:val="000000"/>
        </w:rPr>
        <w:t>Texto de instrução permanente</w:t>
      </w:r>
    </w:p>
    <w:p>
      <w:r>
        <w:rPr>
          <w:color w:val="000000"/>
        </w:rPr>
        <w:t>Você é a inteligência de apoio à gestão do produtor. Ao receber um pedido de resumo de feira ou de dia, identifique produtor, período, fuso e evento. Use somente os dados autorizados desse produtor e os resultados do motor financeiro. Se o recorte estiver indefinido e não houver contexto suficiente, solicite apenas o dado necessário.</w:t>
      </w:r>
    </w:p>
    <w:p>
      <w:r>
        <w:rPr>
          <w:color w:val="000000"/>
        </w:rPr>
        <w:t>Apresente, nesta ordem: síntese do período; produtos vendidos por variação com quantidade, vendas, custo vendido e lucro bruto; estoque restante por variação com quantidade, valor a custo e potencial de venda; totais; compradores PF, PJ e não informados; pagamentos liquidados, em processamento e em aberto; horário com maior faturamento, se disponível; até três orientações acionáveis. Detalhes e indicadores históricos pertencem à aba Gestão.</w:t>
      </w:r>
    </w:p>
    <w:p>
      <w:r>
        <w:rPr>
          <w:color w:val="000000"/>
        </w:rPr>
        <w:t>Preserve nomes, unidades, custos históricos, descontos e devoluções. Não una variações diferentes. Some valores por produto e confira os totais. Não some unidades incompatíveis. Não confunda faturamento, recebimento, margem, lucro bruto, sobra após gastos e valor do estoque. Não invente números ou causas. Identifique dados ausentes e limitações. Nunca efetue alteração de preço, estoque ou venda apenas com base em uma recomendação.</w:t>
      </w:r>
    </w:p>
    <w:p>
      <w:pPr>
        <w:pStyle w:val="Heading2"/>
      </w:pPr>
      <w:r>
        <w:rPr>
          <w:color w:val="000000"/>
        </w:rPr>
        <w:t>Contrato entre cálculo e linguagem</w:t>
      </w:r>
    </w:p>
    <w:p>
      <w:r>
        <w:rPr>
          <w:color w:val="000000"/>
        </w:rPr>
        <w:t>A aplicação deve enviar ao modelo um objeto estruturado com contexto do recorte, linhas por variação, totais, classificação de compradores, parcelas de pagamento, faixas de horário, pendências e identificadores de origem. Cada resultado precisa conter valor, unidade, estado de completude e versão da regra usada. Campos ausentes devem permanecer nulos, acompanhados de motivo.</w:t>
      </w:r>
    </w:p>
    <w:p>
      <w:r>
        <w:rPr>
          <w:color w:val="000000"/>
        </w:rPr>
        <w:t>Calcular dinheiro com aritmética decimal ou centavos inteiros. Quantidades fracionárias e custos médios precisam de precisão suficiente antes do arredondamento monetário. Definir política única de arredondamento e rateio de resíduos. O modelo apenas redige a síntese e seleciona orientações; não recalcula os números oficiais.</w:t>
      </w:r>
    </w:p>
    <w:p>
      <w:pPr>
        <w:pStyle w:val="Heading2"/>
      </w:pPr>
      <w:r>
        <w:rPr>
          <w:color w:val="000000"/>
        </w:rPr>
        <w:t>Critérios mínimos de aceite no Codex</w:t>
      </w:r>
    </w:p>
    <w:p>
      <w:r>
        <w:rPr>
          <w:color w:val="000000"/>
        </w:rPr>
        <w:t>1. Três cafés diferentes geram três linhas com vendas, custo e lucro próprios. No exemplo, o total vendido fecha em R$ 680,00, custo em R$ 412,00 e lucro bruto em R$ 268,00.</w:t>
      </w:r>
    </w:p>
    <w:p>
      <w:r>
        <w:rPr>
          <w:color w:val="000000"/>
        </w:rPr>
        <w:t>2. O produto sem nenhuma venda aparece no saldo; o saldo dos quatro produtos fecha em 25 pacotes, R$ 386,00 a custo e R$ 633,00 de potencial de venda.</w:t>
      </w:r>
    </w:p>
    <w:p>
      <w:r>
        <w:rPr>
          <w:color w:val="000000"/>
        </w:rPr>
        <w:t>3. Pagamento dividido não duplica venda. Pix e dinheiro do exemplo somam R$ 460,00 recebidos; crédito bruto de R$ 150,00 continua em processamento e R$ 70,00 continuam em aberto.</w:t>
      </w:r>
    </w:p>
    <w:p>
      <w:r>
        <w:rPr>
          <w:color w:val="000000"/>
        </w:rPr>
        <w:t>4. Desconto no carrinho confere até o centavo. Alteração posterior de custo não muda lucro histórico. Cancelamento, devolução parcial e perda atualizam os blocos corretos uma única vez.</w:t>
      </w:r>
    </w:p>
    <w:p>
      <w:r>
        <w:rPr>
          <w:color w:val="000000"/>
        </w:rPr>
        <w:t>5. Custo ausente impede lucro total definitivo. Período sem vendas, estoque com unidades diferentes, venda na virada do dia e conflito de sincronização recebem tratamento explícito.</w:t>
      </w:r>
    </w:p>
    <w:p>
      <w:r>
        <w:rPr>
          <w:color w:val="000000"/>
        </w:rPr>
        <w:br w:type="page"/>
      </w:r>
    </w:p>
    <w:p>
      <w:pPr>
        <w:pStyle w:val="Heading1"/>
      </w:pPr>
      <w:r>
        <w:rPr>
          <w:color w:val="000000"/>
        </w:rPr>
        <w:t>7 Gestão e referências de fundamento</w:t>
      </w:r>
    </w:p>
    <w:p>
      <w:pPr>
        <w:pStyle w:val="Heading2"/>
      </w:pPr>
      <w:r>
        <w:rPr>
          <w:color w:val="000000"/>
        </w:rPr>
        <w:t>Indicadores completos na aba Gestão</w:t>
      </w:r>
    </w:p>
    <w:p>
      <w:r>
        <w:rPr>
          <w:color w:val="000000"/>
        </w:rPr>
        <w:t>Concentrar evolução de faturamento, lucro bruto, margem de contribuição, resultado gerencial após gastos e fluxo de caixa. Acrescentar desempenho por produto, origem, comprador e pagamento; quantidade levada, vendida e restante; perdas; contas a receber; taxas; ticket médio e horários.</w:t>
      </w:r>
    </w:p>
    <w:p>
      <w:r>
        <w:rPr>
          <w:color w:val="000000"/>
        </w:rPr>
        <w:t>Ticket médio = vendas após descontos e devoluções ÷ número de vendas válidas do recorte, com política explícita para devoluções totais. Participação de PF ou PJ = vendas do tipo ÷ total do recorte. Informar sempre denominador, filtros e tratamento dos dados ausentes.</w:t>
      </w:r>
    </w:p>
    <w:p>
      <w:r>
        <w:rPr>
          <w:color w:val="000000"/>
        </w:rPr>
        <w:t>Conversão exige contagem de visitantes ou oportunidades; não inferir esse indicador apenas de vendas. Recorrência exige comprador identificável de maneira autorizada. LTV exige histórico e metodologia definidos. Não exibir métricas sem base de dados suficiente apenas para preencher o painel.</w:t>
      </w:r>
    </w:p>
    <w:p>
      <w:pPr>
        <w:pStyle w:val="Heading2"/>
      </w:pPr>
      <w:r>
        <w:rPr>
          <w:color w:val="000000"/>
        </w:rPr>
        <w:t>Referências consultadas em 15 de outubro de 2026</w:t>
      </w:r>
    </w:p>
    <w:p>
      <w:r>
        <w:rPr>
          <w:color w:val="000000"/>
        </w:rPr>
        <w:t>As referências sustentam distinções gerais entre estoque, custos, contribuição e caixa. A organização da interface, o contrato de dados e os critérios de aceite são especificações propostas para este aplicativo.</w:t>
      </w:r>
    </w:p>
    <w:p>
      <w:r>
        <w:rPr>
          <w:color w:val="000000"/>
        </w:rPr>
        <w:t>CPC — CPC 16 R1 Estoques. Base conceitual para custo e métodos de atribuição, dentro do campo de aplicação do pronunciamento. O custo médio móvel deste documento é uma escolha gerencial inicial para produtos intercambiáveis; a adoção contábil deve considerar a natureza da operação, inclusive particularidades da atividade rural.</w:t>
      </w:r>
    </w:p>
    <w:p>
      <w:r>
        <w:rPr>
          <w:color w:val="000000"/>
        </w:rPr>
        <w:t>https://www.cpc.org.br/CPC/Documentos-emitidos/Pronunciamentos/Pronunciamento?Id=47</w:t>
      </w:r>
    </w:p>
    <w:p>
      <w:r>
        <w:rPr>
          <w:color w:val="000000"/>
        </w:rPr>
        <w:t>https://www.cpc.org.br/Arquivos/Documentos/244_CPC_16_Sumario.pdf</w:t>
      </w:r>
    </w:p>
    <w:p>
      <w:r>
        <w:rPr>
          <w:color w:val="000000"/>
        </w:rPr>
        <w:t>Sebrae — Guia de planejamento financeiro. Apoia a distinção entre margem de contribuição, gastos operacionais e lucro. A nomenclatura e as fórmulas deste documento separam o lucro bruto dos produtos da contribuição após despesas variáveis.</w:t>
      </w:r>
    </w:p>
    <w:p>
      <w:r>
        <w:rPr>
          <w:color w:val="000000"/>
        </w:rPr>
        <w:t>https://sebrae.com.br/Sebrae/Portal%20Sebrae/Arquivos/ebook_guia_de_planejamento_financeiro.pdf</w:t>
      </w:r>
    </w:p>
    <w:p>
      <w:r>
        <w:rPr>
          <w:color w:val="000000"/>
        </w:rPr>
        <w:t>Sebrae — Saiba como fazer o fluxo de caixa da sua empresa. Apoia o controle de entradas e saídas e a distinção entre resultado de vendas e movimentação financeira.</w:t>
      </w:r>
    </w:p>
    <w:p>
      <w:r>
        <w:rPr>
          <w:color w:val="000000"/>
        </w:rPr>
        <w:t>https://sebrae.com.br/sites/PortalSebrae/ufs/ap/artigos/fluxo-de-caixa%2Ca8751947e93c9410VgnVCM2000003c74010aRCRD</w:t>
      </w:r>
    </w:p>
    <w:p>
      <w:pPr>
        <w:pStyle w:val="Heading2"/>
      </w:pPr>
      <w:r>
        <w:rPr>
          <w:color w:val="000000"/>
        </w:rPr>
        <w:t>Como utilizar este documento</w:t>
      </w:r>
    </w:p>
    <w:p>
      <w:r>
        <w:rPr>
          <w:color w:val="000000"/>
        </w:rPr>
        <w:t>Inserir o arquivo como referência no projeto do Codex e implementar as regras em funções de cálculo verificáveis. Usar a seção 6 como instrução permanente da inteligência. Executar os critérios de aceite antes de conectar as recomendações aos dados reais. Manter esta versão junto das regras do aplicativo e revisar quando o modelo de dados ou a apuração mudar.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 xml:space="preserve">TERRITÓRIO GESTÃO  •  Diretrizes da inteligência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