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Política de dados de demonstração e início da operação real</w:t>
      </w:r>
    </w:p>
    <w:p>
      <w:r>
        <w:rPr>
          <w:color w:val="000000"/>
        </w:rPr>
        <w:t>AGRO Gestão • Instruções para o Codex e para a inteligência do aplicativo</w:t>
      </w:r>
    </w:p>
    <w:p>
      <w:r>
        <w:rPr>
          <w:color w:val="000000"/>
        </w:rPr>
        <w:t>Versão 1.0 • 15 de outubro de 2026 • Referência complementar às diretrizes financeiras</w:t>
      </w:r>
    </w:p>
    <w:p>
      <w:pPr>
        <w:pStyle w:val="Heading2"/>
      </w:pPr>
      <w:r>
        <w:rPr>
          <w:color w:val="000000"/>
        </w:rPr>
        <w:t>Premissa sobre o APK analisado</w:t>
      </w:r>
    </w:p>
    <w:p>
      <w:r>
        <w:rPr>
          <w:color w:val="000000"/>
        </w:rPr>
        <w:t>Por informação expressa do responsável pelo projeto, os registros apresentados no APK Territorio 0.12.4 teste são fictícios. Eles servem para demonstrar e validar funcionalidades. Não representam desempenho comercial, estoque, clientes, despesas ou resultados reais de um produtor.</w:t>
      </w:r>
    </w:p>
    <w:p>
      <w:r>
        <w:rPr>
          <w:color w:val="000000"/>
        </w:rPr>
        <w:t>Essa premissa refere-se aos registros de demonstração desta versão. Ela não autoriza classificar automaticamente como fictício todo registro futuro, todo cadastro do aplicativo ou todo dado proveniente de uma instalação de teste. A origem de cada conjunto deverá ser identificada.</w:t>
      </w:r>
    </w:p>
    <w:p>
      <w:pPr>
        <w:pStyle w:val="Heading2"/>
      </w:pPr>
      <w:r>
        <w:rPr>
          <w:color w:val="000000"/>
        </w:rPr>
        <w:t>Objetivo</w:t>
      </w:r>
    </w:p>
    <w:p>
      <w:r>
        <w:rPr>
          <w:color w:val="000000"/>
        </w:rPr>
        <w:t>Impedir que dados de exemplo contaminem relatórios, recomendações e decisões da operação real. Permitir experimentar o aplicativo, validar cálculos e começar o uso real com segurança e clareza. Este documento especifica comportamento desejado; sua criação não modifica o APK nem comprova que os controles já estejam implementados.</w:t>
      </w:r>
    </w:p>
    <w:p>
      <w:pPr>
        <w:pStyle w:val="Heading2"/>
      </w:pPr>
      <w:r>
        <w:rPr>
          <w:color w:val="000000"/>
        </w:rPr>
        <w:t>Distinção obrigatória</w:t>
      </w:r>
    </w:p>
    <w:tbl>
      <w:tblPr>
        <w:tblW w:type="auto" w:w="0"/>
        <w:tblLayout w:type="fixed"/>
        <w:tblLook w:firstColumn="1" w:firstRow="1" w:lastColumn="0" w:lastRow="0" w:noHBand="0" w:noVBand="1" w:val="04A0"/>
      </w:tblPr>
      <w:tblGrid>
        <w:gridCol w:w="2376"/>
        <w:gridCol w:w="7848"/>
      </w:tblGrid>
      <w:tr>
        <w:trPr>
          <w:tblHeader/>
        </w:trP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Tipo de análise</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O que é permitido concluir</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Estrutura e funcionamento</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Examinar regras, fórmulas, campos, filtros e fluxos. Dados fictícios permitem verificar resultados esperados em cenários controlados.</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Desempenho do negócio</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Exige registros reais, período definido e verificação da qualidade dos dados. Exemplos não demonstram demanda, rentabilidade ou comportamento de clientes reais.</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Simulação</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Pode explorar hipóteses identificadas. Deve explicitar premissas e não atualizar vendas, estoque ou caixa reais.</w:t>
            </w:r>
          </w:p>
        </w:tc>
      </w:tr>
    </w:tbl>
    <w:p>
      <w:pPr>
        <w:spacing w:after="0"/>
      </w:pPr>
    </w:p>
    <w:p>
      <w:pPr>
        <w:pStyle w:val="Heading2"/>
      </w:pPr>
      <w:r>
        <w:rPr>
          <w:color w:val="000000"/>
        </w:rPr>
        <w:t>Regra permanente</w:t>
      </w:r>
    </w:p>
    <w:p>
      <w:r>
        <w:rPr>
          <w:color w:val="000000"/>
        </w:rPr>
        <w:t>Todo total, relatório e análise deve ter um contexto explícito de dados. O contexto de demonstração pode gerar explicações e exercícios. O contexto real deve excluir demonstração, simulações e registros cuja origem ainda não foi validada.</w:t>
      </w:r>
    </w:p>
    <w:p>
      <w:r>
        <w:rPr>
          <w:color w:val="000000"/>
        </w:rPr>
        <w:br w:type="page"/>
      </w:r>
    </w:p>
    <w:p>
      <w:pPr>
        <w:pStyle w:val="Heading1"/>
      </w:pPr>
      <w:r>
        <w:rPr>
          <w:color w:val="000000"/>
        </w:rPr>
        <w:t>1 Identificação e separação dos registros</w:t>
      </w:r>
    </w:p>
    <w:p>
      <w:pPr>
        <w:pStyle w:val="Heading2"/>
      </w:pPr>
      <w:r>
        <w:rPr>
          <w:color w:val="000000"/>
        </w:rPr>
        <w:t>Contextos de dados</w:t>
      </w:r>
    </w:p>
    <w:tbl>
      <w:tblPr>
        <w:tblW w:type="auto" w:w="0"/>
        <w:tblLayout w:type="fixed"/>
        <w:tblLook w:firstColumn="1" w:firstRow="1" w:lastColumn="0" w:lastRow="0" w:noHBand="0" w:noVBand="1" w:val="04A0"/>
      </w:tblPr>
      <w:tblGrid>
        <w:gridCol w:w="2376"/>
        <w:gridCol w:w="7848"/>
      </w:tblGrid>
      <w:tr>
        <w:trPr>
          <w:tblHeader/>
        </w:trP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Contexto</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Tratamento obrigatório</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Demonstração</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Registros preparados para apresentação ou treinamento. Usar identificação visível “Demonstração — dados fictícios”.</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Real</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Registros da operação do produtor, lançados ou importados com origem validada. Elegíveis para indicadores reais.</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Simulação</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Cópias e hipóteses destinadas a testar cenários. Mostrar “Simulação”. Não movimentar a operação real.</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Origem não confirmada</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Registros legados ou importados sem classificação confiável. Excluir dos indicadores reais e apresentar pendência de revisão.</w:t>
            </w:r>
          </w:p>
        </w:tc>
      </w:tr>
    </w:tbl>
    <w:p>
      <w:pPr>
        <w:spacing w:after="0"/>
      </w:pPr>
    </w:p>
    <w:p>
      <w:pPr>
        <w:pStyle w:val="Heading2"/>
      </w:pPr>
      <w:r>
        <w:rPr>
          <w:color w:val="000000"/>
        </w:rPr>
        <w:t>Regra de implementação</w:t>
      </w:r>
    </w:p>
    <w:p>
      <w:r>
        <w:rPr>
          <w:color w:val="000000"/>
        </w:rPr>
        <w:t>Preferir conjuntos de dados separados por produtor e contexto. Quando registros compartilharem a mesma base, aplicar os filtros no armazenamento e nos cálculos, além da interface. Esconder uma linha na tela não impede sua inclusão indevida no total.</w:t>
      </w:r>
    </w:p>
    <w:p>
      <w:r>
        <w:rPr>
          <w:color w:val="000000"/>
        </w:rPr>
        <w:t>Registrar, no conjunto e nas transações, identificador do produtor, identificador do contexto, tipo de contexto, origem, data de criação e lote de importação quando houver. Usar identificadores estáveis nas relações entre venda, itens, pagamentos, estoque, despesas e devoluções.</w:t>
      </w:r>
    </w:p>
    <w:p>
      <w:r>
        <w:rPr>
          <w:color w:val="000000"/>
        </w:rPr>
        <w:t>Uma transação real não deve apontar para um produto ou cliente exclusivo da demonstração. Para reutilizar um cadastro, criar uma cópia independente após a revisão do produtor. Não converter histórico fictício em histórico real por simples troca de marcador.</w:t>
      </w:r>
    </w:p>
    <w:p>
      <w:pPr>
        <w:pStyle w:val="Heading2"/>
      </w:pPr>
      <w:r>
        <w:rPr>
          <w:color w:val="000000"/>
        </w:rPr>
        <w:t>Informações que devem manter o contexto</w:t>
      </w:r>
    </w:p>
    <w:p>
      <w:r>
        <w:rPr>
          <w:color w:val="000000"/>
        </w:rPr>
        <w:t>Aplicar a classificação a vendas, pagamentos, parcelas, devoluções, despesas, movimentações de estoque, perdas, encomendas, eventos, clientes, produtos e contagens de visitantes. Cadastros reutilizáveis precisam de revisão própria, sem levar junto operações fictícias.</w:t>
      </w:r>
    </w:p>
    <w:p>
      <w:r>
        <w:rPr>
          <w:color w:val="000000"/>
        </w:rPr>
        <w:t>Relatórios exportados, backups, notificações, análises de IA e envios ao organizador da feira devem preservar o contexto. Backups de demonstração não podem substituir a operação real de forma silenciosa. Importações devem mostrar o contexto de origem e o destino antes de serem aplicadas.</w:t>
      </w:r>
    </w:p>
    <w:p>
      <w:pPr>
        <w:pStyle w:val="Heading2"/>
      </w:pPr>
      <w:r>
        <w:rPr>
          <w:color w:val="000000"/>
        </w:rPr>
        <w:t>Proteção nas ações externas</w:t>
      </w:r>
    </w:p>
    <w:p>
      <w:r>
        <w:rPr>
          <w:color w:val="000000"/>
        </w:rPr>
        <w:t>No modo demonstração, bloquear envio efetivo de mensagens, cobranças, pedidos, documentos fiscais e relatórios operacionais para terceiros. Apresentar uma prévia para treinamento. Exportações voluntárias de exemplos são permitidas quando identificadas como fictícias e sem destinatários reais expostos.</w:t>
      </w:r>
    </w:p>
    <w:p>
      <w:r>
        <w:rPr>
          <w:color w:val="000000"/>
        </w:rPr>
        <w:br w:type="page"/>
      </w:r>
    </w:p>
    <w:p>
      <w:pPr>
        <w:pStyle w:val="Heading1"/>
      </w:pPr>
      <w:r>
        <w:rPr>
          <w:color w:val="000000"/>
        </w:rPr>
        <w:t>2 Passagem para a operação real</w:t>
      </w:r>
    </w:p>
    <w:p>
      <w:pPr>
        <w:pStyle w:val="Heading2"/>
      </w:pPr>
      <w:r>
        <w:rPr>
          <w:color w:val="000000"/>
        </w:rPr>
        <w:t>Fluxo proposto para o produtor</w:t>
      </w:r>
    </w:p>
    <w:p>
      <w:r>
        <w:rPr>
          <w:color w:val="000000"/>
        </w:rPr>
        <w:t>1. Oferecer duas escolhas claras na configuração inicial: “Experimentar com exemplos” e “Começar minha operação”. Mostrar permanentemente o modo ativo. Evitar iniciar o modo real com números de exemplo no painel.</w:t>
      </w:r>
    </w:p>
    <w:p>
      <w:r>
        <w:rPr>
          <w:color w:val="000000"/>
        </w:rPr>
        <w:t>2. Ao escolher a operação real, criar um conjunto independente e vazio de transações. Manter a demonstração disponível separadamente, quando tecnicamente possível. A passagem para o uso real não exige apagar os exemplos.</w:t>
      </w:r>
    </w:p>
    <w:p>
      <w:r>
        <w:rPr>
          <w:color w:val="000000"/>
        </w:rPr>
        <w:t>3. Permitir selecionar os cadastros que o produtor deseja aproveitar. Apresentar nome, unidade, embalagem, preço, custo e categoria para revisão. Valores de exemplo não devem ser aceitos silenciosamente como preços e custos reais.</w:t>
      </w:r>
    </w:p>
    <w:p>
      <w:r>
        <w:rPr>
          <w:color w:val="000000"/>
        </w:rPr>
        <w:t>4. Solicitar o estoque físico de abertura por produto e variação, com data de referência e custo conhecido ou marcado como pendente. Registrar como saldo inicial, nunca como venda. Para começar a registrar vendas, permitir custo pendente com alerta e sem lucro total definitivo.</w:t>
      </w:r>
    </w:p>
    <w:p>
      <w:r>
        <w:rPr>
          <w:color w:val="000000"/>
        </w:rPr>
        <w:t>5. Se houver módulo de caixa, registrar saldo financeiro inicial, contas a receber e contas a pagar reais em categorias próprias. Recebíveis anteriores não viram vendas do dia; saldo inicial não é faturamento. Não copiar saldos de demonstração.</w:t>
      </w:r>
    </w:p>
    <w:p>
      <w:r>
        <w:rPr>
          <w:color w:val="000000"/>
        </w:rPr>
        <w:t>6. Apresentar a revisão final: produtor, data de início, cadastros aproveitados, estoque inicial, pendências e ausência de transações fictícias. Após a confirmação do produtor, ativar a operação real e registrar o início.</w:t>
      </w:r>
    </w:p>
    <w:p>
      <w:pPr>
        <w:pStyle w:val="Heading2"/>
      </w:pPr>
      <w:r>
        <w:rPr>
          <w:color w:val="000000"/>
        </w:rPr>
        <w:t>O que pode ser aproveitado</w:t>
      </w:r>
    </w:p>
    <w:p>
      <w:r>
        <w:rPr>
          <w:color w:val="000000"/>
        </w:rPr>
        <w:t>Preferências visuais, acessibilidade e unidades podem ser mantidas. Produtos, categorias, identidade do negócio e preços podem ser copiados após revisão. Clientes, contatos, fotos e textos pessoais exigem seleção consciente. Nunca copiar automaticamente autorizações de contato ou de envio de dados para IA.</w:t>
      </w:r>
    </w:p>
    <w:p>
      <w:r>
        <w:rPr>
          <w:color w:val="000000"/>
        </w:rPr>
        <w:t>Vendas, pagamentos, despesas, devoluções, movimentações, perdas e resultados de teste permanecem na demonstração. Eventos demonstrativos não viram participação real. Credenciais e serviços externos precisam de validação no contexto de destino.</w:t>
      </w:r>
    </w:p>
    <w:p>
      <w:pPr>
        <w:pStyle w:val="Heading2"/>
      </w:pPr>
      <w:r>
        <w:rPr>
          <w:color w:val="000000"/>
        </w:rPr>
        <w:t>Exclusão opcional dos exemplos</w:t>
      </w:r>
    </w:p>
    <w:p>
      <w:r>
        <w:rPr>
          <w:color w:val="000000"/>
        </w:rPr>
        <w:t>Se o produtor solicitar remover exemplos, informar exatamente o conjunto afetado e preservar a operação real. Oferecer exportação prévia e exigir confirmação específica da exclusão. Não utilizar um comando genérico de limpeza sem distinguir demonstração, cadastros e transações reais.</w:t>
      </w:r>
    </w:p>
    <w:p>
      <w:pPr>
        <w:pStyle w:val="Heading2"/>
      </w:pPr>
      <w:r>
        <w:rPr>
          <w:color w:val="000000"/>
        </w:rPr>
        <w:t>Instalações existentes e sincronização</w:t>
      </w:r>
    </w:p>
    <w:p>
      <w:r>
        <w:rPr>
          <w:color w:val="000000"/>
        </w:rPr>
        <w:t>Identificar os exemplos conhecidos pelo pacote ou lote de demonstração. Quando não houver identificação confiável, manter “Origem não confirmada” até revisão. Não classificar pela aparência dos nomes, pelos valores ou apenas pelo número da versão. Preservar a classificação ao sincronizar e impedir que repetição de envio crie transações duplicadas.</w:t>
      </w:r>
    </w:p>
    <w:p>
      <w:r>
        <w:rPr>
          <w:color w:val="000000"/>
        </w:rPr>
        <w:br w:type="page"/>
      </w:r>
    </w:p>
    <w:p>
      <w:pPr>
        <w:pStyle w:val="Heading1"/>
      </w:pPr>
      <w:r>
        <w:rPr>
          <w:color w:val="000000"/>
        </w:rPr>
        <w:t>3 Instruções para a inteligência do aplicativo</w:t>
      </w:r>
    </w:p>
    <w:p>
      <w:pPr>
        <w:pStyle w:val="Heading2"/>
      </w:pPr>
      <w:r>
        <w:rPr>
          <w:color w:val="000000"/>
        </w:rPr>
        <w:t>Texto para inserir na memória da inteligência</w:t>
      </w:r>
    </w:p>
    <w:p>
      <w:r>
        <w:rPr>
          <w:color w:val="000000"/>
        </w:rPr>
        <w:t>Você é a inteligência de apoio à gestão do produtor no AGRO Gestão. Antes de interpretar os indicadores, verifique o produtor, o período, a origem dos registros e o contexto ativo: demonstração, real, simulação ou origem não confirmada. Trate os registros de demonstração do APK 0.12.4 teste como fictícios, conforme orientação do responsável pelo projeto.</w:t>
      </w:r>
    </w:p>
    <w:p>
      <w:r>
        <w:rPr>
          <w:color w:val="000000"/>
        </w:rPr>
        <w:t>Em demonstração, inicie a resposta com “Exemplo com dados fictícios”. Explique cálculos e possibilidades de uso. Não apresente esses números como desempenho de um produtor real e não faça recomendações operacionais para seu negócio com base neles. Em simulações, identifique as premissas e o caráter hipotético do resultado.</w:t>
      </w:r>
    </w:p>
    <w:p>
      <w:r>
        <w:rPr>
          <w:color w:val="000000"/>
        </w:rPr>
        <w:t>Em operação real, utilize apenas dados reais do produtor autorizado e do recorte solicitado. Exclua demonstração, simulações e origem não confirmada. Se houver contaminação ou classificação ausente, sinalize a pendência e não apresente o conjunto como retrato confiável do negócio.</w:t>
      </w:r>
    </w:p>
    <w:p>
      <w:r>
        <w:rPr>
          <w:color w:val="000000"/>
        </w:rPr>
        <w:t>Use os totais calculados pelo motor financeiro. Diferencie fato, hipótese e sugestão. Não deduza que a ausência de histórico significa ausência de demanda. Nunca preencha custo ausente com zero. Não transforme uma explicação ou recomendação em alteração de preço, estoque, venda ou caixa.</w:t>
      </w:r>
    </w:p>
    <w:p>
      <w:r>
        <w:rPr>
          <w:color w:val="000000"/>
        </w:rPr>
        <w:t>Se o contexto não vier identificado, peça sua definição ou apresente apenas orientação geral, sem conclusão sobre o negócio. Recomendações precisam indicar quais dados reais as sustentam e quais informações ainda faltam. Preserve essa identificação também nas respostas compartilhadas e exportadas.</w:t>
      </w:r>
    </w:p>
    <w:p>
      <w:pPr>
        <w:pStyle w:val="Heading2"/>
      </w:pPr>
      <w:r>
        <w:rPr>
          <w:color w:val="000000"/>
        </w:rPr>
        <w:t>Exemplos de resposta</w:t>
      </w:r>
    </w:p>
    <w:tbl>
      <w:tblPr>
        <w:tblW w:type="auto" w:w="0"/>
        <w:tblLayout w:type="fixed"/>
        <w:tblLook w:firstColumn="1" w:firstRow="1" w:lastColumn="0" w:lastRow="0" w:noHBand="0" w:noVBand="1" w:val="04A0"/>
      </w:tblPr>
      <w:tblGrid>
        <w:gridCol w:w="2376"/>
        <w:gridCol w:w="7848"/>
      </w:tblGrid>
      <w:tr>
        <w:trPr>
          <w:tblHeader/>
        </w:trP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Situação</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Resposta esperada</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Resumo com vendas fictícias</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“Exemplo com dados fictícios. Neste cenário, foram vendidos 10 pacotes. O exemplo mostra como o app calcula o resultado por produto.”</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Operação real recém iniciada</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“Ainda não há histórico suficiente para sugerir a quantidade da próxima feira. Registre o que levou, vendeu e trouxe de volta.”</w:t>
            </w:r>
          </w:p>
        </w:tc>
      </w:tr>
      <w:tr>
        <w:tc>
          <w:tcPr>
            <w:tcW w:type="dxa" w:w="2376"/>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Dados misturados</w:t>
            </w:r>
          </w:p>
        </w:tc>
        <w:tc>
          <w:tcPr>
            <w:tcW w:type="dxa" w:w="78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“O período contém registros de exemplo ou sem origem confirmada. Revise a classificação antes de usar o resultado para decidir.”</w:t>
            </w:r>
          </w:p>
        </w:tc>
      </w:tr>
    </w:tbl>
    <w:p>
      <w:pPr>
        <w:spacing w:after="0"/>
      </w:pPr>
    </w:p>
    <w:p>
      <w:pPr>
        <w:pStyle w:val="Heading2"/>
      </w:pPr>
      <w:r>
        <w:rPr>
          <w:color w:val="000000"/>
        </w:rPr>
        <w:t>Integração com o serviço de IA</w:t>
      </w:r>
    </w:p>
    <w:p>
      <w:r>
        <w:rPr>
          <w:color w:val="000000"/>
        </w:rPr>
        <w:t>O pedido ao serviço deve conter o tipo e o identificador do contexto, produtor, período, versão das diretrizes, totais calculados e pendências. Enviar somente os registros permitidos para essa análise. A configuração do serviço deve carregar estas instruções e as diretrizes financeiras; anexar o documento ao projeto do Codex, isoladamente, não garante seu uso nas respostas do aplicativo.</w:t>
      </w:r>
    </w:p>
    <w:p>
      <w:r>
        <w:rPr>
          <w:color w:val="000000"/>
        </w:rPr>
        <w:br w:type="page"/>
      </w:r>
    </w:p>
    <w:p>
      <w:pPr>
        <w:pStyle w:val="Heading1"/>
      </w:pPr>
      <w:r>
        <w:rPr>
          <w:color w:val="000000"/>
        </w:rPr>
        <w:t>4 Critérios de validação no Codex</w:t>
      </w:r>
    </w:p>
    <w:p>
      <w:r>
        <w:rPr>
          <w:color w:val="000000"/>
        </w:rPr>
        <w:t>Validar as regras com conjuntos controlados. Os testes abaixo verificam comportamento esperado; não constituem diagnóstico de desempenho do produtor nem confirmação de que a versão atual já os atende.</w:t>
      </w:r>
    </w:p>
    <w:tbl>
      <w:tblPr>
        <w:tblW w:type="auto" w:w="0"/>
        <w:tblLayout w:type="fixed"/>
        <w:tblLook w:firstColumn="1" w:firstRow="1" w:lastColumn="0" w:lastRow="0" w:noHBand="0" w:noVBand="1" w:val="04A0"/>
      </w:tblPr>
      <w:tblGrid>
        <w:gridCol w:w="3960"/>
        <w:gridCol w:w="6264"/>
      </w:tblGrid>
      <w:tr>
        <w:trPr>
          <w:tblHeader/>
        </w:trPr>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Cenário</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E7EBEF"/>
          </w:tcPr>
          <w:p>
            <w:pPr>
              <w:spacing w:after="40" w:before="40" w:line="240" w:lineRule="auto"/>
            </w:pPr>
            <w:r>
              <w:rPr>
                <w:b/>
                <w:sz w:val="20"/>
              </w:rPr>
              <w:t>Resultado esperado</w:t>
            </w:r>
          </w:p>
        </w:tc>
      </w:tr>
      <w:tr>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Mesma data com venda real de R$ 100 e exemplo de R$ 900</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Painel real mostra R$ 100; demonstração mostra R$ 900. Nenhum total operacional combina os dois.</w:t>
            </w:r>
          </w:p>
        </w:tc>
      </w:tr>
      <w:tr>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Mesmo nome de produto nos dois contextos</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Os saldos permanecem independentes por identificador. Venda fictícia não reduz estoque real.</w:t>
            </w:r>
          </w:p>
        </w:tc>
      </w:tr>
      <w:tr>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Iniciar operação aproveitando produtos</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Somente cadastros revisados são copiados. Vendas, pagamentos, despesas e autorizações de exemplo permanecem fora do contexto real.</w:t>
            </w:r>
          </w:p>
        </w:tc>
      </w:tr>
      <w:tr>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Cadastrar estoque inicial real</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Cria movimentação de abertura. Não cria faturamento, lucro ou recebimento.</w:t>
            </w:r>
          </w:p>
        </w:tc>
      </w:tr>
      <w:tr>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Consultar IA sem contexto de dados</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O serviço não conclui sobre o negócio. Solicita definição ou responde apenas em termos gerais.</w:t>
            </w:r>
          </w:p>
        </w:tc>
      </w:tr>
      <w:tr>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Compartilhar resumo demonstrativo</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Arquivo e texto exibem indicação de dados fictícios. Nenhum envio operacional é feito automaticamente.</w:t>
            </w:r>
          </w:p>
        </w:tc>
      </w:tr>
      <w:tr>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Importar backup ou receber sincronização</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Classificação é preservada. Conflitos são apresentados; não há sobrescrita silenciosa da base real nem duplicação.</w:t>
            </w:r>
          </w:p>
        </w:tc>
      </w:tr>
      <w:tr>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Excluir exemplos após começar a operar</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Remove somente o conjunto explicitamente escolhido. Cadastros e operações reais permanecem íntegros.</w:t>
            </w:r>
          </w:p>
        </w:tc>
      </w:tr>
      <w:tr>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Novo registro após atualizar o APK</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0" w:lineRule="auto"/>
            </w:pPr>
            <w:r>
              <w:rPr>
                <w:b w:val="0"/>
                <w:sz w:val="20"/>
              </w:rPr>
              <w:t>A origem depende do contexto de criação, não do número da versão do aplicativo.</w:t>
            </w:r>
          </w:p>
        </w:tc>
      </w:tr>
      <w:tr>
        <w:tc>
          <w:tcPr>
            <w:tcW w:type="dxa" w:w="3960"/>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Custos incompletos no contexto real</w:t>
            </w:r>
          </w:p>
        </w:tc>
        <w:tc>
          <w:tcPr>
            <w:tcW w:type="dxa" w:w="6264"/>
            <w:tcBorders>
              <w:top w:val="single" w:sz="4" w:color="D9D9D9"/>
              <w:left w:val="single" w:sz="4" w:color="D9D9D9"/>
              <w:bottom w:val="single" w:sz="4" w:color="D9D9D9"/>
              <w:right w:val="single" w:sz="4" w:color="D9D9D9"/>
            </w:tcBorders>
            <w:tcMar>
              <w:top w:w="75" w:type="dxa"/>
              <w:left w:w="75" w:type="dxa"/>
              <w:bottom w:w="75" w:type="dxa"/>
              <w:right w:w="75" w:type="dxa"/>
            </w:tcMar>
            <w:shd w:fill="F6F7F8"/>
          </w:tcPr>
          <w:p>
            <w:pPr>
              <w:spacing w:after="40" w:before="40" w:line="240" w:lineRule="auto"/>
            </w:pPr>
            <w:r>
              <w:rPr>
                <w:b w:val="0"/>
                <w:sz w:val="20"/>
              </w:rPr>
              <w:t>Vendas continuam visíveis. Lucro total é marcado como incompleto e a pendência de custo é informada.</w:t>
            </w:r>
          </w:p>
        </w:tc>
      </w:tr>
    </w:tbl>
    <w:p>
      <w:pPr>
        <w:spacing w:after="0"/>
      </w:pPr>
    </w:p>
    <w:p>
      <w:pPr>
        <w:pStyle w:val="Heading2"/>
      </w:pPr>
      <w:r>
        <w:rPr>
          <w:color w:val="000000"/>
        </w:rPr>
        <w:t>Ordem recomendada de implantação</w:t>
      </w:r>
    </w:p>
    <w:p>
      <w:r>
        <w:rPr>
          <w:color w:val="000000"/>
        </w:rPr>
        <w:t>Primeiro, criar a identificação dos contextos e os filtros comuns a todos os cálculos. Depois, implementar o início da operação real e a revisão dos cadastros. Em seguida, aplicar a política à IA, aos relatórios, às integrações e aos backups. Por fim, executar os cenários de validação e revisar os textos das telas.</w:t>
      </w:r>
    </w:p>
    <w:p>
      <w:pPr>
        <w:pStyle w:val="Heading2"/>
      </w:pPr>
      <w:r>
        <w:rPr>
          <w:color w:val="000000"/>
        </w:rPr>
        <w:t>Relação com os demais materiais</w:t>
      </w:r>
    </w:p>
    <w:p>
      <w:r>
        <w:rPr>
          <w:color w:val="000000"/>
        </w:rPr>
        <w:t>Aplicar esta política ao documento de diretrizes financeiras e aos futuros manuais de custos, preços, estoque e preparação de feiras. Exemplos podem ensinar o uso desses materiais; recomendações sobre a operação dependem dos registros reais e da suficiência das informações.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 xml:space="preserve">AGRO GESTÃO  •  Política de dados  •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