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780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40"/>
        <w:gridCol w:w="6360"/>
      </w:tblGrid>
      <w:tr>
        <w:trPr>
          <w:cantSplit/>
          <w:trHeight w:val="1"/>
        </w:trPr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914400" cy="1562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ftserve-wordmark-in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562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60"/>
            <w:vAlign w:val="center"/>
            <w:tcMar>
              <w:top w:w="0" w:type="dxa"/>
              <w:left w:w="360" w:type="dxa"/>
              <w:bottom w:w="0" w:type="dxa"/>
              <w:right w:w="0" w:type="dxa"/>
            </w:tcMar>
          </w:tcPr>
          <w:p>
            <w:pPr>
              <w:spacing w:before="0" w:after="0" w:line="276" w:lineRule="auto"/>
              <w:pBdr>
                <w:left w:val="single" w:sz="6" w:space="9" w:color="BDCBD7"/>
              </w:pBdr>
            </w:pPr>
            <w:r>
              <w:rPr>
                <w:rFonts w:ascii="Replica LL TT" w:hAnsi="Replica LL TT" w:eastAsia="Replica LL TT" w:cs="Replica LL TT"/>
                <w:b w:val="0"/>
                <w:color w:val="000000"/>
                <w:sz w:val="24"/>
              </w:rPr>
              <w:t>Oracle AI &amp; Data Solutions</w:t>
            </w:r>
          </w:p>
        </w:tc>
      </w:tr>
    </w:tbl>
    <w:p>
      <w:pPr>
        <w:spacing w:before="140" w:after="60" w:line="276" w:lineRule="auto"/>
        <w:pBdr>
          <w:bottom w:val="single" w:sz="6" w:space="4" w:color="D1DAE2"/>
        </w:pBdr>
      </w:pPr>
      <w:r>
        <w:rPr>
          <w:rFonts w:ascii="Azurio" w:hAnsi="Azurio" w:eastAsia="Azurio" w:cs="Azurio"/>
          <w:b w:val="0"/>
          <w:color w:val="000000"/>
          <w:sz w:val="40"/>
        </w:rPr>
        <w:t>Account Insights — Feature list</w:t>
      </w:r>
    </w:p>
    <w:p>
      <w:pPr>
        <w:spacing w:before="100" w:after="30" w:line="276" w:lineRule="auto"/>
      </w:pPr>
      <w:r>
        <w:rPr>
          <w:rFonts w:ascii="Replica LL TT" w:hAnsi="Replica LL TT" w:eastAsia="Replica LL TT" w:cs="Replica LL TT"/>
          <w:b w:val="0"/>
          <w:color w:val="26292B"/>
          <w:sz w:val="18"/>
        </w:rPr>
        <w:t>More opportunities from the companies you already track: the news, filings and updates on them become a named next move for each — scored, cited and reviewed before anything reaches your systems.</w:t>
      </w:r>
    </w:p>
    <w:p>
      <w:pPr>
        <w:spacing w:before="0" w:after="80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6"/>
        </w:rPr>
        <w:t>For any team responsible for a named set of companies it has to stay current on — the accounts it sells to, the partners it develops, or the companies in its portfolio.</w:t>
      </w:r>
    </w:p>
    <w:tbl>
      <w:tblPr>
        <w:tblW w:type="dxa" w:w="10250"/>
        <w:tblLook w:firstColumn="1" w:firstRow="1" w:lastColumn="0" w:lastRow="0" w:noHBand="0" w:noVBand="1" w:val="04A0"/>
        <w:tblBorders>
          <w:top w:val="single" w:sz="4" w:space="0" w:color="D1DAE2"/>
          <w:left w:val="single" w:sz="4" w:space="0" w:color="D1DAE2"/>
          <w:bottom w:val="single" w:sz="4" w:space="0" w:color="D1DAE2"/>
          <w:right w:val="single" w:sz="4" w:space="0" w:color="D1DAE2"/>
          <w:insideH w:val="single" w:sz="4" w:space="0" w:color="D1DAE2"/>
          <w:insideV w:val="single" w:sz="4" w:space="0" w:color="D1DAE2"/>
        </w:tblBorders>
        <w:tblLayout w:type="fixed"/>
        <w:tblCellMar>
          <w:left w:w="10" w:type="dxa"/>
          <w:right w:w="10" w:type="dxa"/>
        </w:tblCellMar>
      </w:tblPr>
      <w:tblGrid>
        <w:gridCol w:w="1077"/>
        <w:gridCol w:w="1978"/>
        <w:gridCol w:w="3420"/>
        <w:gridCol w:w="1350"/>
        <w:gridCol w:w="2425"/>
      </w:tblGrid>
      <w:tr>
        <w:trPr>
          <w:cantSplit/>
          <w:trHeight w:val="300"/>
        </w:trPr>
        <w:tc>
          <w:tcPr>
            <w:tcW w:type="dxa" w:w="1077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78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342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Features</w:t>
            </w:r>
          </w:p>
        </w:tc>
        <w:tc>
          <w:tcPr>
            <w:tcW w:type="dxa" w:w="135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Current status</w:t>
            </w:r>
          </w:p>
        </w:tc>
        <w:tc>
          <w:tcPr>
            <w:tcW w:type="dxa" w:w="2425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Standard customization scope</w:t>
            </w:r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Account universe &amp; grounding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account universe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Account universe — the in-scope companies, their tiering, the relationship framing from the system of record*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In-scope account list definition · System-of-record field mapping and account-framing extraction · Per-client catalog-of-moves capture · Signal-source selection and licensing review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Sources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Signal sources — news, filings, disclosures, commercial feeds, EDGAR and IR pages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of moves captured from the organization's own material — service lines, partnership offers, value levers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Grounding roadmap — legal-entity grouping, source-licensing gate, native multilingual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Signal intake &amp; normalization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Trigger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Trigger — scheduled scan, manual submit, on demand for one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Relevance rules and thresholds per client · Account-matching rules · Cadence and source configuration · Signal-type catalog definition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Standing subscription — recurrence, deadline-bound triggers, what changed since last time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Normalization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Normalization — genuine, de-duplicated, resolved to the accounts affected, one record each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Provenance class — filing · disclosure · reported · rumour · model output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Implication reasoning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assembly and ranking across first-party and public sources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7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Reasoning prompts per domain · Ripple rules per domain · Client catalog of moves and mapping logic · Scoring rubric and thresholds per client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and reasoning safeguards — the evidence set shown, contradictions surfaced, conclusions checked, opportunity and risk routed separately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implication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Opportunity and risk reasoning — the "so what" per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mapping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Opportunity mapped to a named move the organization can actually make — a service line, a partnership offer, a value lever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flexibility — a configurable mapping target, and "mapped to nothing" emitted as a demand-gap stream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Ripple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Cross-account ripple, descriptive, up to two levels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Ripple at scale — a licensed relationship graph, portfolio-level aggregation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Scoring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Magnitude and confidence scored 0–10 per item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Scoring maturity — confidence calibrated on realized outcomes, cost-aware ranking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Review &amp; evidence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reviewer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Reviewer UI with cited evidence and visible reasoning — approve / reject with a comment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7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Reviewer layout and workflow configuration · Evaluation set and rubric per client · Feedback fields per workflow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Reviewer workbench — triage before anything is written; disagreement analysed as a signal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Evaluation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Evaluation — correctness and calibration harness, reviewer feedback captured as input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integrity — point-in-time replay, negative assertion, retraction re-check, feedback-driven tuning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Output &amp; delivery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record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Output — a structured per-account record or a narrative briefing, filtered by confidence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Output schema per client · Integration configuration per target system · Routing and ownership rules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Delivery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Export to the team's system of record — CRM, deal pipeline or portfolio tracker**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Downstream maturity — routing to the account owner, live write-back, outcome capture, and eventually acting on opportunities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</w:tbl>
    <w:p>
      <w:pPr>
        <w:spacing w:before="90" w:after="0" w:line="276" w:lineRule="auto"/>
      </w:pPr>
      <w:r>
        <w:rPr>
          <w:rFonts w:ascii="Replica LL TT" w:hAnsi="Replica LL TT" w:eastAsia="Replica LL TT" w:cs="Replica LL TT"/>
          <w:b w:val="0"/>
          <w:color w:val="1485C3"/>
          <w:sz w:val="20"/>
        </w:rPr>
        <w:t>●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available — provided out of the box, configuration may be required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· </w:t>
      </w:r>
      <w:r>
        <w:rPr>
          <w:rFonts w:ascii="Replica LL TT" w:hAnsi="Replica LL TT" w:eastAsia="Replica LL TT" w:cs="Replica LL TT"/>
          <w:b w:val="0"/>
          <w:color w:val="1485C3"/>
          <w:sz w:val="16"/>
        </w:rPr>
        <w:t>◐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partial — partially implemented, major improvements on the roadmap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· </w:t>
      </w:r>
      <w:r>
        <w:rPr>
          <w:rFonts w:ascii="Replica LL TT" w:hAnsi="Replica LL TT" w:eastAsia="Replica LL TT" w:cs="Replica LL TT"/>
          <w:b w:val="0"/>
          <w:color w:val="AEB4BA"/>
          <w:sz w:val="20"/>
        </w:rPr>
        <w:t>○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roadmap — planned, not implemented today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  Account universe — the in-scope companies, their tiering, the relationship framing from the system of record: Extract at PoV Jumpstart; API at Integration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**  Export to the team's system of record — CRM, deal pipeline or portfolio tracker: File at PoV Jumpstart; API at Integration</w:t>
      </w:r>
    </w:p>
    <w:sectPr w:rsidR="00FC693F" w:rsidRPr="0006063C" w:rsidSect="00034616">
      <w:footerReference w:type="default" r:id="rId10"/>
      <w:pgSz w:w="11906" w:h="16838"/>
      <w:pgMar w:top="567" w:right="743" w:bottom="420" w:left="743" w:header="720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zurio">
    <w:altName w:val="Georgia"/>
    <w:charset w:val="00"/>
    <w:family w:val="roman"/>
    <w:pitch w:val="variable"/>
  </w:font>
  <w:font w:name="Replica LL TT">
    <w:altName w:val="Arial"/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Replica LL TT" w:hAnsi="Replica LL TT" w:eastAsia="Replica LL TT" w:cs="Replica LL TT"/>
        <w:b w:val="0"/>
        <w:color w:val="4C5156"/>
        <w:sz w:val="13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Replica LL TT" w:hAnsi="Replica LL TT" w:eastAsia="Replica LL TT" w:cs="Replica LL TT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