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11FB9E" w14:textId="5A966769" w:rsidR="00411B55" w:rsidRDefault="00DD5D7B">
      <w:pPr>
        <w:spacing w:after="20"/>
      </w:pPr>
      <w:r>
        <w:rPr>
          <w:b/>
          <w:bCs/>
          <w:sz w:val="28"/>
          <w:szCs w:val="28"/>
        </w:rPr>
        <w:t>Alex</w:t>
      </w:r>
      <w:r w:rsidR="00000000">
        <w:rPr>
          <w:b/>
          <w:bCs/>
          <w:sz w:val="28"/>
          <w:szCs w:val="28"/>
        </w:rPr>
        <w:t xml:space="preserve"> Orlov</w:t>
      </w:r>
    </w:p>
    <w:p w14:paraId="4EC0966E" w14:textId="6031DD1D" w:rsidR="00E10611" w:rsidRPr="00E10611" w:rsidRDefault="00DD5D7B" w:rsidP="00E10611">
      <w:pPr>
        <w:pBdr>
          <w:bottom w:val="single" w:sz="6" w:space="1" w:color="auto"/>
        </w:pBdr>
        <w:spacing w:after="140"/>
        <w:rPr>
          <w:color w:val="595959"/>
          <w:sz w:val="19"/>
          <w:szCs w:val="19"/>
        </w:rPr>
      </w:pPr>
      <w:hyperlink r:id="rId7" w:history="1">
        <w:r w:rsidRPr="001167C8">
          <w:rPr>
            <w:rStyle w:val="Hyperlink"/>
            <w:sz w:val="19"/>
            <w:szCs w:val="19"/>
          </w:rPr>
          <w:t>ao@alexorlov.co</w:t>
        </w:r>
      </w:hyperlink>
      <w:r>
        <w:rPr>
          <w:color w:val="595959"/>
          <w:sz w:val="19"/>
          <w:szCs w:val="19"/>
        </w:rPr>
        <w:t xml:space="preserve">  </w:t>
      </w:r>
      <w:r w:rsidR="00000000">
        <w:rPr>
          <w:color w:val="7F7F7F"/>
          <w:sz w:val="19"/>
          <w:szCs w:val="19"/>
        </w:rPr>
        <w:t xml:space="preserve">·    </w:t>
      </w:r>
      <w:r w:rsidR="00083401">
        <w:rPr>
          <w:sz w:val="19"/>
          <w:szCs w:val="19"/>
        </w:rPr>
        <w:fldChar w:fldCharType="begin"/>
      </w:r>
      <w:r w:rsidR="00083401">
        <w:rPr>
          <w:sz w:val="19"/>
          <w:szCs w:val="19"/>
        </w:rPr>
        <w:instrText>HYPERLINK "https://linkedin.com/in/aorlov"</w:instrText>
      </w:r>
      <w:r w:rsidR="00083401">
        <w:rPr>
          <w:sz w:val="19"/>
          <w:szCs w:val="19"/>
        </w:rPr>
      </w:r>
      <w:r w:rsidR="00083401">
        <w:rPr>
          <w:sz w:val="19"/>
          <w:szCs w:val="19"/>
        </w:rPr>
        <w:fldChar w:fldCharType="separate"/>
      </w:r>
      <w:r w:rsidR="00411B55" w:rsidRPr="00083401">
        <w:rPr>
          <w:rStyle w:val="Hyperlink"/>
          <w:sz w:val="19"/>
          <w:szCs w:val="19"/>
        </w:rPr>
        <w:t>linkedin.com/in/</w:t>
      </w:r>
      <w:proofErr w:type="spellStart"/>
      <w:r w:rsidR="00411B55" w:rsidRPr="00083401">
        <w:rPr>
          <w:rStyle w:val="Hyperlink"/>
          <w:sz w:val="19"/>
          <w:szCs w:val="19"/>
        </w:rPr>
        <w:t>aorlov</w:t>
      </w:r>
      <w:proofErr w:type="spellEnd"/>
      <w:r w:rsidR="00083401">
        <w:rPr>
          <w:sz w:val="19"/>
          <w:szCs w:val="19"/>
        </w:rPr>
        <w:fldChar w:fldCharType="end"/>
      </w:r>
    </w:p>
    <w:p w14:paraId="38C06C3B" w14:textId="5B866AEB" w:rsidR="00411B55" w:rsidRDefault="00000000">
      <w:pPr>
        <w:pStyle w:val="Title"/>
        <w:spacing w:after="20"/>
      </w:pPr>
      <w:r>
        <w:t>From Service to Product: An Introduction</w:t>
      </w:r>
    </w:p>
    <w:p>
      <w:pPr>
        <w:spacing w:after="60"/>
        <w:rPr>
          <w:color w:val="2A1A00" w:themeColor="text2"/>
        </w:rPr>
      </w:pPr>
      <w:r>
        <w:rPr>
          <w:b/>
          <w:bCs/>
          <w:color w:val="2A1A00" w:themeColor="text2"/>
          <w:sz w:val="24"/>
          <w:szCs w:val="24"/>
        </w:rPr>
        <w:t xml:space="preserve">Productization essentials &amp; strategy self-assessment for enterprise software service company</w:t>
      </w:r>
    </w:p>
    <w:p>
      <w:pPr>
        <w:spacing w:after="160"/>
      </w:pPr>
      <w:r>
        <w:rPr>
          <w:color w:val="595959"/>
        </w:rPr>
        <w:t xml:space="preserve">A 6-hour introductory program · three 2-hour live sessions · prepared for SoftServe · July 2026</w:t>
      </w:r>
    </w:p>
    <w:p>
      <w:pPr>
        <w:pStyle w:val="Heading1"/>
      </w:pPr>
      <w:r>
        <w:t xml:space="preserve">1. Context</w:t>
      </w:r>
    </w:p>
    <w:p>
      <w:pPr>
        <w:spacing w:after="100" w:line="264" w:lineRule="auto"/>
      </w:pPr>
      <w:r>
        <w:rPr>
          <w:sz w:val="21"/>
          <w:szCs w:val="21"/>
        </w:rPr>
        <w:t xml:space="preserve">SoftServe is expanding beyond classic service delivery toward more repeatable IP and productized, value-based offerings: a response to shifting customer expectations and a way to strengthen its competitive edge. Accelerators, frameworks, reusable assets and services are expected to compound across engagements: some maturing into standalone products, some serving as technology enablers, some becoming productized services, each with a clear value proposition, lifecycle and adoption path.</w:t>
      </w:r>
    </w:p>
    <w:p>
      <w:pPr>
        <w:spacing w:after="100" w:line="264" w:lineRule="auto"/>
      </w:pPr>
      <w:r>
        <w:rPr>
          <w:sz w:val="21"/>
          <w:szCs w:val="21"/>
        </w:rPr>
        <w:t xml:space="preserve">Different levels of productization carry very different economics, commitments and ways of working; the first strategic step is knowing where each initiative sits and where it should aim. This introductory program gives the team a shared map of those levels and of the key product-management concepts behind them, applied to SoftServe's own initiatives.</w:t>
      </w:r>
    </w:p>
    <w:p>
      <w:pPr>
        <w:pStyle w:val="Heading1"/>
      </w:pPr>
      <w:r>
        <w:t xml:space="preserve">2. Goal of the program</w:t>
      </w:r>
    </w:p>
    <w:p>
      <w:pPr>
        <w:spacing w:after="50" w:line="264" w:lineRule="auto"/>
      </w:pPr>
      <w:r>
        <w:rPr>
          <w:sz w:val="21"/>
          <w:szCs w:val="21"/>
        </w:rPr>
        <w:t xml:space="preserve">Participants of the program are about 15 SoftServe's service leaders, capability managers, architects, technical / product owners, delivery and engineering leaders. This compact, 6-hour introduction helps them:</w:t>
      </w:r>
    </w:p>
    <w:p>
      <w:pPr>
        <w:pStyle w:val="ListParagraph"/>
        <w:numPr>
          <w:ilvl w:val="0"/>
          <w:numId w:val="2"/>
        </w:numPr>
        <w:spacing w:after="50" w:line="260" w:lineRule="auto"/>
      </w:pPr>
      <w:r>
        <w:rPr>
          <w:sz w:val="21"/>
          <w:szCs w:val="21"/>
        </w:rPr>
        <w:t xml:space="preserve">understand the boundaries between the levels of productized offerings and offers, and the economics and commitment of each level;</w:t>
      </w:r>
    </w:p>
    <w:p>
      <w:pPr>
        <w:pStyle w:val="ListParagraph"/>
        <w:numPr>
          <w:ilvl w:val="0"/>
          <w:numId w:val="2"/>
        </w:numPr>
        <w:spacing w:after="50" w:line="260" w:lineRule="auto"/>
      </w:pPr>
      <w:r>
        <w:rPr>
          <w:sz w:val="21"/>
          <w:szCs w:val="21"/>
        </w:rPr>
        <w:t xml:space="preserve">find the right spot on the productization ladder for SoftServe's current productization aspirations;</w:t>
      </w:r>
    </w:p>
    <w:p>
      <w:pPr>
        <w:pStyle w:val="ListParagraph"/>
        <w:numPr>
          <w:ilvl w:val="0"/>
          <w:numId w:val="2"/>
        </w:numPr>
        <w:spacing w:after="50" w:line="260" w:lineRule="auto"/>
      </w:pPr>
      <w:r>
        <w:rPr>
          <w:sz w:val="21"/>
          <w:szCs w:val="21"/>
        </w:rPr>
        <w:t xml:space="preserve">navigate the key product-management concepts behind productization: define, validate, measure, manage;</w:t>
      </w:r>
    </w:p>
    <w:p>
      <w:pPr>
        <w:pStyle w:val="ListParagraph"/>
        <w:numPr>
          <w:ilvl w:val="0"/>
          <w:numId w:val="2"/>
        </w:numPr>
        <w:spacing w:after="50" w:line="260" w:lineRule="auto"/>
      </w:pPr>
      <w:r>
        <w:rPr>
          <w:sz w:val="21"/>
          <w:szCs w:val="21"/>
        </w:rPr>
        <w:t xml:space="preserve">self-assess the status quo of the initiatives and potential products in flight;</w:t>
      </w:r>
    </w:p>
    <w:p>
      <w:pPr>
        <w:pStyle w:val="ListParagraph"/>
        <w:numPr>
          <w:ilvl w:val="0"/>
          <w:numId w:val="2"/>
        </w:numPr>
        <w:spacing w:after="50" w:line="260" w:lineRule="auto"/>
      </w:pPr>
      <w:r>
        <w:rPr>
          <w:sz w:val="21"/>
          <w:szCs w:val="21"/>
        </w:rPr>
        <w:t xml:space="preserve">define next steps: for the productization strategy, and for the team's competence building.</w:t>
      </w:r>
    </w:p>
    <w:p>
      <w:pPr>
        <w:pStyle w:val="Heading1"/>
      </w:pPr>
      <w:r>
        <w:t xml:space="preserve">3. How sessions work</w:t>
      </w:r>
    </w:p>
    <w:p>
      <w:pPr>
        <w:spacing w:after="50" w:line="264" w:lineRule="auto"/>
      </w:pPr>
      <w:r>
        <w:rPr>
          <w:sz w:val="21"/>
          <w:szCs w:val="21"/>
        </w:rPr>
        <w:t xml:space="preserve">All sessions are 2 hours, live online, in two complementary formats. No home assignments: all work happens inside the sessions, on SoftServe's own material.</w:t>
      </w:r>
    </w:p>
    <w:p>
      <w:pPr>
        <w:pStyle w:val="ListParagraph"/>
        <w:numPr>
          <w:ilvl w:val="0"/>
          <w:numId w:val="2"/>
        </w:numPr>
        <w:spacing w:after="50" w:line="260" w:lineRule="auto"/>
      </w:pPr>
      <w:r>
        <w:rPr>
          <w:b/>
          <w:bCs/>
          <w:sz w:val="21"/>
          <w:szCs w:val="21"/>
        </w:rPr>
        <w:t xml:space="preserve">Workshop: </w:t>
      </w:r>
      <w:r>
        <w:rPr>
          <w:sz w:val="21"/>
          <w:szCs w:val="21"/>
        </w:rPr>
        <w:t xml:space="preserve">the framework is presented, then applied to SoftServe's pre-prepared list of initiatives and potential products.</w:t>
      </w:r>
    </w:p>
    <w:p>
      <w:pPr>
        <w:pStyle w:val="ListParagraph"/>
        <w:numPr>
          <w:ilvl w:val="0"/>
          <w:numId w:val="2"/>
        </w:numPr>
        <w:spacing w:after="50" w:line="260" w:lineRule="auto"/>
      </w:pPr>
      <w:r>
        <w:rPr>
          <w:b/>
          <w:bCs/>
          <w:sz w:val="21"/>
          <w:szCs w:val="21"/>
        </w:rPr>
        <w:t xml:space="preserve">Lecture with active Q&amp;A: </w:t>
      </w:r>
      <w:r>
        <w:rPr>
          <w:sz w:val="21"/>
          <w:szCs w:val="21"/>
        </w:rPr>
        <w:t xml:space="preserve">a framework, a customer-adjacent worked example, then a constrained group exercise on a real SoftServe example; each session closes with a group reflection on next steps and further reading suggested by the instructor.</w:t>
      </w:r>
    </w:p>
    <w:p>
      <w:pPr>
        <w:pStyle w:val="Heading1"/>
      </w:pPr>
      <w:r>
        <w:t xml:space="preserve">4. The program</w:t>
      </w:r>
    </w:p>
    <w:p>
      <w:pPr>
        <w:spacing w:after="80" w:line="264" w:lineRule="auto"/>
      </w:pPr>
      <w:r>
        <w:rPr>
          <w:sz w:val="21"/>
          <w:szCs w:val="21"/>
        </w:rPr>
        <w:t xml:space="preserve">The program below is preliminary and will be adjusted to SoftServe's context after the discovery session and the preparation input are processed. It may also evolve during the live sessions, based on the group dynamics and discovered insights.</w:t>
      </w:r>
    </w:p>
    <w:tbl>
      <w:tblPr>
        <w:tblStyle w:val="GridTable6Colorful-Accent1"/>
        <w:tblW w:w="9360" w:type="dxa"/>
        <w:tblLook w:val="0420" w:firstRow="1" w:lastRow="0" w:firstColumn="0" w:lastColumn="0" w:noHBand="0" w:noVBand="1"/>
      </w:tblPr>
      <w:tblGrid>
        <w:gridCol w:w="1900"/>
        <w:gridCol w:w="4660"/>
        <w:gridCol w:w="2800"/>
      </w:tblGrid>
      <w:tr>
        <w:trPr>
          <w:cnfStyle w:val="100000000000" w:firstRow="1" w:lastRow="0" w:firstColumn="0" w:lastColumn="0" w:oddVBand="0" w:evenVBand="0" w:oddHBand="0" w:evenHBand="0" w:firstRowFirstColumn="0" w:firstRowLastColumn="0" w:lastRowFirstColumn="0" w:lastRowLastColumn="0"/>
        </w:trPr>
        <w:tc>
          <w:tcPr>
            <w:tcW w:w="1900" w:type="dxa"/>
          </w:tcPr>
          <w:p>
            <w:pPr>
              <w:spacing w:line="252" w:lineRule="auto"/>
            </w:pPr>
            <w:r>
              <w:rPr>
                <w:color w:val="000000" w:themeColor="text1"/>
              </w:rPr>
              <w:t xml:space="preserve">Session</w:t>
            </w:r>
          </w:p>
        </w:tc>
        <w:tc>
          <w:tcPr>
            <w:tcW w:w="4660" w:type="dxa"/>
          </w:tcPr>
          <w:p>
            <w:pPr>
              <w:spacing w:line="252" w:lineRule="auto"/>
            </w:pPr>
            <w:r>
              <w:rPr>
                <w:color w:val="000000" w:themeColor="text1"/>
              </w:rPr>
              <w:t xml:space="preserve">Topics</w:t>
            </w:r>
          </w:p>
        </w:tc>
        <w:tc>
          <w:tcPr>
            <w:tcW w:w="2800" w:type="dxa"/>
          </w:tcPr>
          <w:p>
            <w:pPr>
              <w:spacing w:line="252" w:lineRule="auto"/>
            </w:pPr>
            <w:r>
              <w:rPr>
                <w:color w:val="000000" w:themeColor="text1"/>
              </w:rPr>
              <w:t xml:space="preserve">Format</w:t>
            </w:r>
          </w:p>
        </w:tc>
      </w:tr>
      <w:tr>
        <w:trPr>
          <w:cnfStyle w:val="000000100000" w:firstRow="0" w:lastRow="0" w:firstColumn="0" w:lastColumn="0" w:oddVBand="0" w:evenVBand="0" w:oddHBand="1" w:evenHBand="0" w:firstRowFirstColumn="0" w:firstRowLastColumn="0" w:lastRowFirstColumn="0" w:lastRowLastColumn="0"/>
        </w:trPr>
        <w:tc>
          <w:tcPr>
            <w:tcW w:w="1900" w:type="dxa"/>
          </w:tcPr>
          <w:p>
            <w:pPr>
              <w:spacing w:after="40" w:line="252" w:lineRule="auto"/>
            </w:pPr>
            <w:r>
              <w:rPr>
                <w:b/>
                <w:bCs/>
                <w:sz w:val="19"/>
                <w:szCs w:val="19"/>
              </w:rPr>
              <w:t xml:space="preserve">1. Products in an enterprise services company</w:t>
            </w:r>
          </w:p>
          <w:p>
            <w:pPr>
              <w:spacing w:line="252" w:lineRule="auto"/>
            </w:pPr>
            <w:r>
              <w:rPr>
                <w:color w:val="595959"/>
                <w:sz w:val="17"/>
                <w:szCs w:val="17"/>
              </w:rPr>
              <w:t xml:space="preserve">2 h · workshop</w:t>
            </w:r>
          </w:p>
        </w:tc>
        <w:tc>
          <w:tcPr>
            <w:tcW w:w="4660" w:type="dxa"/>
          </w:tcPr>
          <w:p>
            <w:pPr>
              <w:pStyle w:val="ListParagraph"/>
              <w:numPr>
                <w:ilvl w:val="0"/>
                <w:numId w:val="4"/>
              </w:numPr>
              <w:spacing w:after="30" w:line="248" w:lineRule="auto"/>
            </w:pPr>
            <w:r>
              <w:rPr>
                <w:u w:val="single"/>
                <w:sz w:val="19"/>
                <w:szCs w:val="19"/>
              </w:rPr>
              <w:t xml:space="preserve">The productization ladder</w:t>
            </w:r>
            <w:r>
              <w:rPr>
                <w:sz w:val="19"/>
                <w:szCs w:val="19"/>
              </w:rPr>
              <w:t xml:space="preserve">: packaged services → technology-enabled services (accelerators) → productized services → products → products-as-a-service; the economics and commitment of each level</w:t>
            </w:r>
          </w:p>
          <w:p>
            <w:pPr>
              <w:pStyle w:val="ListParagraph"/>
              <w:numPr>
                <w:ilvl w:val="0"/>
                <w:numId w:val="4"/>
              </w:numPr>
              <w:spacing w:after="30" w:line="248" w:lineRule="auto"/>
            </w:pPr>
            <w:r>
              <w:rPr>
                <w:u w:val="single"/>
                <w:sz w:val="19"/>
                <w:szCs w:val="19"/>
              </w:rPr>
              <w:t xml:space="preserve">Product strategy in a services company</w:t>
            </w:r>
            <w:r>
              <w:rPr>
                <w:sz w:val="19"/>
                <w:szCs w:val="19"/>
              </w:rPr>
              <w:t xml:space="preserve">: where to play; the product-vs-feature decision (standalone offering vs. add-on to existing delivery)</w:t>
            </w:r>
          </w:p>
          <w:p>
            <w:pPr>
              <w:pStyle w:val="ListParagraph"/>
              <w:numPr>
                <w:ilvl w:val="0"/>
                <w:numId w:val="4"/>
              </w:numPr>
              <w:spacing w:after="30" w:line="248" w:lineRule="auto"/>
            </w:pPr>
            <w:r>
              <w:rPr>
                <w:u w:val="single"/>
                <w:sz w:val="19"/>
                <w:szCs w:val="19"/>
              </w:rPr>
              <w:t xml:space="preserve">Productization case studies from B2B services</w:t>
            </w:r>
            <w:r>
              <w:rPr>
                <w:sz w:val="19"/>
                <w:szCs w:val="19"/>
              </w:rPr>
              <w:t xml:space="preserve">: what worked, what stalled, and why</w:t>
            </w:r>
          </w:p>
          <w:p>
            <w:pPr>
              <w:pStyle w:val="ListParagraph"/>
              <w:numPr>
                <w:ilvl w:val="0"/>
                <w:numId w:val="4"/>
              </w:numPr>
              <w:spacing w:after="0" w:line="248" w:lineRule="auto"/>
            </w:pPr>
            <w:r>
              <w:rPr>
                <w:u w:val="single"/>
                <w:sz w:val="19"/>
                <w:szCs w:val="19"/>
              </w:rPr>
              <w:t xml:space="preserve">Strategic alignment</w:t>
            </w:r>
            <w:r>
              <w:rPr>
                <w:sz w:val="19"/>
                <w:szCs w:val="19"/>
              </w:rPr>
              <w:t xml:space="preserve">: aligning business goals, product goals and initiatives (impact mapping, OKRs)</w:t>
            </w:r>
          </w:p>
        </w:tc>
        <w:tc>
          <w:tcPr>
            <w:tcW w:w="2800" w:type="dxa"/>
          </w:tcPr>
          <w:p>
            <w:pPr>
              <w:spacing w:line="252" w:lineRule="auto"/>
            </w:pPr>
            <w:r>
              <w:rPr>
                <w:b/>
                <w:bCs/>
                <w:sz w:val="19"/>
                <w:szCs w:val="19"/>
              </w:rPr>
              <w:t xml:space="preserve">Workshop. </w:t>
            </w:r>
            <w:r>
              <w:rPr>
                <w:sz w:val="19"/>
                <w:szCs w:val="19"/>
              </w:rPr>
              <w:t xml:space="preserve">Working with the pre-prepared list of initiatives / potential products: placing each on the productization ladder, answering the key strategic questions together, aligning with business objectives and target levels.</w:t>
            </w:r>
          </w:p>
        </w:tc>
      </w:tr>
      <w:tr>
        <w:trPr>
          <w:cnfStyle w:val="000000010000" w:firstRow="0" w:lastRow="0" w:firstColumn="0" w:lastColumn="0" w:oddVBand="0" w:evenVBand="0" w:oddHBand="0" w:evenHBand="1" w:firstRowFirstColumn="0" w:firstRowLastColumn="0" w:lastRowFirstColumn="0" w:lastRowLastColumn="0"/>
        </w:trPr>
        <w:tc>
          <w:tcPr>
            <w:tcW w:w="1900" w:type="dxa"/>
          </w:tcPr>
          <w:p>
            <w:pPr>
              <w:spacing w:after="40" w:line="252" w:lineRule="auto"/>
            </w:pPr>
            <w:r>
              <w:rPr>
                <w:b/>
                <w:bCs/>
                <w:sz w:val="19"/>
                <w:szCs w:val="19"/>
              </w:rPr>
              <w:t xml:space="preserve">2. Product lifecycle overview: Define</w:t>
            </w:r>
          </w:p>
          <w:p>
            <w:pPr>
              <w:spacing w:line="252" w:lineRule="auto"/>
            </w:pPr>
            <w:r>
              <w:rPr>
                <w:color w:val="595959"/>
                <w:sz w:val="17"/>
                <w:szCs w:val="17"/>
              </w:rPr>
              <w:t xml:space="preserve">2 h · lecture + active Q&amp;A</w:t>
            </w:r>
          </w:p>
        </w:tc>
        <w:tc>
          <w:tcPr>
            <w:tcW w:w="4660" w:type="dxa"/>
          </w:tcPr>
          <w:p>
            <w:pPr>
              <w:pStyle w:val="ListParagraph"/>
              <w:numPr>
                <w:ilvl w:val="0"/>
                <w:numId w:val="4"/>
              </w:numPr>
              <w:spacing w:after="30" w:line="248" w:lineRule="auto"/>
            </w:pPr>
            <w:r>
              <w:rPr>
                <w:u w:val="single"/>
                <w:sz w:val="19"/>
                <w:szCs w:val="19"/>
              </w:rPr>
              <w:t xml:space="preserve">Define the product idea</w:t>
            </w:r>
            <w:r>
              <w:rPr>
                <w:sz w:val="19"/>
                <w:szCs w:val="19"/>
              </w:rPr>
              <w:t xml:space="preserve">: the Product Map (the instructor's adaptation of the Lean canvas)</w:t>
            </w:r>
          </w:p>
          <w:p>
            <w:pPr>
              <w:pStyle w:val="ListParagraph"/>
              <w:numPr>
                <w:ilvl w:val="0"/>
                <w:numId w:val="4"/>
              </w:numPr>
              <w:spacing w:after="30" w:line="248" w:lineRule="auto"/>
            </w:pPr>
            <w:r>
              <w:rPr>
                <w:u w:val="single"/>
                <w:sz w:val="19"/>
                <w:szCs w:val="19"/>
              </w:rPr>
              <w:t xml:space="preserve">Define the market</w:t>
            </w:r>
            <w:r>
              <w:rPr>
                <w:sz w:val="19"/>
                <w:szCs w:val="19"/>
              </w:rPr>
              <w:t xml:space="preserve">: sizing (TAM / SAM / SOM), ideal customer profile, segmentation (core / situational / non-customers; early adopters)</w:t>
            </w:r>
          </w:p>
          <w:p>
            <w:pPr>
              <w:pStyle w:val="ListParagraph"/>
              <w:numPr>
                <w:ilvl w:val="0"/>
                <w:numId w:val="4"/>
              </w:numPr>
              <w:spacing w:after="30" w:line="248" w:lineRule="auto"/>
            </w:pPr>
            <w:r>
              <w:rPr>
                <w:u w:val="single"/>
                <w:sz w:val="19"/>
                <w:szCs w:val="19"/>
              </w:rPr>
              <w:t xml:space="preserve">Define the problem</w:t>
            </w:r>
            <w:r>
              <w:rPr>
                <w:sz w:val="19"/>
                <w:szCs w:val="19"/>
              </w:rPr>
              <w:t xml:space="preserve">: what the customer is trying to achieve, why, and why they can't today; why it is critical</w:t>
            </w:r>
          </w:p>
          <w:p>
            <w:pPr>
              <w:pStyle w:val="ListParagraph"/>
              <w:numPr>
                <w:ilvl w:val="0"/>
                <w:numId w:val="4"/>
              </w:numPr>
              <w:spacing w:after="30" w:line="248" w:lineRule="auto"/>
            </w:pPr>
            <w:r>
              <w:rPr>
                <w:u w:val="single"/>
                <w:sz w:val="19"/>
                <w:szCs w:val="19"/>
              </w:rPr>
              <w:t xml:space="preserve">Define GTM approach</w:t>
            </w:r>
            <w:r>
              <w:rPr>
                <w:sz w:val="19"/>
                <w:szCs w:val="19"/>
              </w:rPr>
              <w:t xml:space="preserve">: distribution channels, channels' pipelines, acquisition growth strategies</w:t>
            </w:r>
          </w:p>
          <w:p>
            <w:pPr>
              <w:pStyle w:val="ListParagraph"/>
              <w:numPr>
                <w:ilvl w:val="0"/>
                <w:numId w:val="4"/>
              </w:numPr>
              <w:spacing w:after="0" w:line="248" w:lineRule="auto"/>
            </w:pPr>
            <w:r>
              <w:rPr>
                <w:u w:val="single"/>
                <w:sz w:val="19"/>
                <w:szCs w:val="19"/>
              </w:rPr>
              <w:t xml:space="preserve">Discover &amp; validate</w:t>
            </w:r>
            <w:r>
              <w:rPr>
                <w:sz w:val="19"/>
                <w:szCs w:val="19"/>
              </w:rPr>
              <w:t xml:space="preserve">: customer-discovery methods (in-depth interviews, qualitative &amp; quantitative methods, observation) and data analysis (product analytics, market research, segmentation)</w:t>
            </w:r>
          </w:p>
        </w:tc>
        <w:tc>
          <w:tcPr>
            <w:tcW w:w="2800" w:type="dxa"/>
          </w:tcPr>
          <w:p>
            <w:pPr>
              <w:spacing w:line="252" w:lineRule="auto"/>
            </w:pPr>
            <w:r>
              <w:rPr>
                <w:b/>
                <w:bCs/>
                <w:sz w:val="19"/>
                <w:szCs w:val="19"/>
              </w:rPr>
              <w:t xml:space="preserve">Lecture with active Q&amp;A. </w:t>
            </w:r>
            <w:r>
              <w:rPr>
                <w:sz w:val="19"/>
                <w:szCs w:val="19"/>
              </w:rPr>
              <w:t xml:space="preserve">Frameworks shown on a customer-adjacent example, then a constrained exercise on a real SoftServe example; closes with a group reflection on next steps and further reading.</w:t>
            </w:r>
          </w:p>
        </w:tc>
      </w:tr>
      <w:tr>
        <w:trPr>
          <w:cnfStyle w:val="000000100000" w:firstRow="0" w:lastRow="0" w:firstColumn="0" w:lastColumn="0" w:oddVBand="0" w:evenVBand="0" w:oddHBand="1" w:evenHBand="0" w:firstRowFirstColumn="0" w:firstRowLastColumn="0" w:lastRowFirstColumn="0" w:lastRowLastColumn="0"/>
        </w:trPr>
        <w:tc>
          <w:tcPr>
            <w:tcW w:w="1900" w:type="dxa"/>
          </w:tcPr>
          <w:p>
            <w:pPr>
              <w:spacing w:after="40" w:line="252" w:lineRule="auto"/>
            </w:pPr>
            <w:r>
              <w:rPr>
                <w:b/>
                <w:bCs/>
                <w:sz w:val="19"/>
                <w:szCs w:val="19"/>
              </w:rPr>
              <w:t xml:space="preserve">3. Product lifecycle overview: Measure &amp; manage</w:t>
            </w:r>
          </w:p>
          <w:p>
            <w:pPr>
              <w:spacing w:line="252" w:lineRule="auto"/>
            </w:pPr>
            <w:r>
              <w:rPr>
                <w:color w:val="595959"/>
                <w:sz w:val="17"/>
                <w:szCs w:val="17"/>
              </w:rPr>
              <w:t xml:space="preserve">2 h · lecture + active Q&amp;A</w:t>
            </w:r>
          </w:p>
        </w:tc>
        <w:tc>
          <w:tcPr>
            <w:tcW w:w="4660" w:type="dxa"/>
          </w:tcPr>
          <w:p>
            <w:pPr>
              <w:pStyle w:val="ListParagraph"/>
              <w:numPr>
                <w:ilvl w:val="0"/>
                <w:numId w:val="4"/>
              </w:numPr>
              <w:spacing w:after="30" w:line="248" w:lineRule="auto"/>
            </w:pPr>
            <w:r>
              <w:rPr>
                <w:u w:val="single"/>
                <w:sz w:val="19"/>
                <w:szCs w:val="19"/>
              </w:rPr>
              <w:t xml:space="preserve">Thinking in hypotheses</w:t>
            </w:r>
            <w:r>
              <w:rPr>
                <w:sz w:val="19"/>
                <w:szCs w:val="19"/>
              </w:rPr>
              <w:t xml:space="preserve">: desirability / viability / feasibility / usability risks</w:t>
            </w:r>
          </w:p>
          <w:p>
            <w:pPr>
              <w:pStyle w:val="ListParagraph"/>
              <w:numPr>
                <w:ilvl w:val="0"/>
                <w:numId w:val="4"/>
              </w:numPr>
              <w:spacing w:after="30" w:line="248" w:lineRule="auto"/>
            </w:pPr>
            <w:r>
              <w:rPr>
                <w:u w:val="single"/>
                <w:sz w:val="19"/>
                <w:szCs w:val="19"/>
              </w:rPr>
              <w:t xml:space="preserve">Processing qualitative customer feedback</w:t>
            </w:r>
            <w:r>
              <w:rPr>
                <w:sz w:val="19"/>
                <w:szCs w:val="19"/>
              </w:rPr>
              <w:t xml:space="preserve"> (content-analysis matrix; AI-assisted classification)</w:t>
            </w:r>
          </w:p>
          <w:p>
            <w:pPr>
              <w:pStyle w:val="ListParagraph"/>
              <w:numPr>
                <w:ilvl w:val="0"/>
                <w:numId w:val="4"/>
              </w:numPr>
              <w:spacing w:after="0" w:line="248" w:lineRule="auto"/>
            </w:pPr>
            <w:r>
              <w:rPr>
                <w:u w:val="single"/>
                <w:sz w:val="19"/>
                <w:szCs w:val="19"/>
              </w:rPr>
              <w:t xml:space="preserve">The product feedback loop &amp; measurement</w:t>
            </w:r>
            <w:r>
              <w:rPr>
                <w:sz w:val="19"/>
                <w:szCs w:val="19"/>
              </w:rPr>
              <w:t xml:space="preserve">; measuring activation, retention &amp; engagement</w:t>
            </w:r>
          </w:p>
        </w:tc>
        <w:tc>
          <w:tcPr>
            <w:tcW w:w="2800" w:type="dxa"/>
          </w:tcPr>
          <w:p>
            <w:pPr>
              <w:spacing w:line="252" w:lineRule="auto"/>
            </w:pPr>
            <w:r>
              <w:rPr>
                <w:b/>
                <w:bCs/>
                <w:sz w:val="19"/>
                <w:szCs w:val="19"/>
              </w:rPr>
              <w:t xml:space="preserve">Lecture with active Q&amp;A. </w:t>
            </w:r>
            <w:r>
              <w:rPr>
                <w:sz w:val="19"/>
                <w:szCs w:val="19"/>
              </w:rPr>
              <w:t xml:space="preserve">Same format as Session 2. The closing reflection widens to the whole program: initiative status + next steps in productization strategy and competence building.</w:t>
            </w:r>
          </w:p>
        </w:tc>
      </w:tr>
    </w:tbl>
    <w:p>
      <w:pPr>
        <w:pStyle w:val="Heading1"/>
      </w:pPr>
      <w:r>
        <w:t xml:space="preserve">5. Instructor</w:t>
      </w:r>
    </w:p>
    <w:p>
      <w:pPr>
        <w:spacing w:after="50" w:line="264" w:lineRule="auto"/>
      </w:pPr>
      <w:r>
        <w:rPr>
          <w:sz w:val="21"/>
          <w:szCs w:val="21"/>
        </w:rPr>
        <w:t xml:space="preserve">Oleksii Orlov: seasoned B2B technology product leader with 14 years of experience in enterprise B2B SaaS, product innovation and expansion, and agentic AI.</w:t>
      </w:r>
    </w:p>
    <w:p>
      <w:pPr>
        <w:pStyle w:val="ListParagraph"/>
        <w:numPr>
          <w:ilvl w:val="0"/>
          <w:numId w:val="2"/>
        </w:numPr>
        <w:spacing w:after="50" w:line="260" w:lineRule="auto"/>
      </w:pPr>
      <w:r>
        <w:rPr>
          <w:sz w:val="21"/>
          <w:szCs w:val="21"/>
        </w:rPr>
        <w:t xml:space="preserve">former SVP of Product at Creatio (enterprise B2B SaaS platform), former Chief Product Officer, Innovations at Jooble, currently Chief Product Officer at GigaCloud (cloud infrastructure) and fractional product leader, and advisor.</w:t>
      </w:r>
    </w:p>
    <w:p>
      <w:pPr>
        <w:pStyle w:val="ListParagraph"/>
        <w:numPr>
          <w:ilvl w:val="0"/>
          <w:numId w:val="2"/>
        </w:numPr>
        <w:spacing w:after="50" w:line="260" w:lineRule="auto"/>
      </w:pPr>
      <w:r>
        <w:rPr>
          <w:sz w:val="21"/>
          <w:szCs w:val="21"/>
        </w:rPr>
        <w:t xml:space="preserve">Currently advising SoftServe's R&amp;D unit on repeatable-IP strategy and productization processes.</w:t>
      </w:r>
    </w:p>
    <w:p>
      <w:pPr>
        <w:pStyle w:val="ListParagraph"/>
        <w:numPr>
          <w:ilvl w:val="0"/>
          <w:numId w:val="2"/>
        </w:numPr>
        <w:spacing w:after="50" w:line="260" w:lineRule="auto"/>
      </w:pPr>
      <w:r>
        <w:rPr>
          <w:sz w:val="21"/>
          <w:szCs w:val="21"/>
        </w:rPr>
        <w:t xml:space="preserve">Product-management lecturer and corporate-program author for practicing product teams and technical leaders.</w:t>
      </w:r>
    </w:p>
    <w:p>
      <w:pPr>
        <w:pStyle w:val="Heading1"/>
      </w:pPr>
      <w:r>
        <w:t xml:space="preserve">6. What's included</w:t>
      </w:r>
    </w:p>
    <w:p>
      <w:pPr>
        <w:spacing w:after="50" w:line="264" w:lineRule="auto"/>
      </w:pPr>
      <w:r>
        <w:rPr>
          <w:sz w:val="21"/>
          <w:szCs w:val="21"/>
        </w:rPr>
        <w:t xml:space="preserve">The introductory program includes:</w:t>
      </w:r>
    </w:p>
    <w:p>
      <w:pPr>
        <w:pStyle w:val="ListParagraph"/>
        <w:numPr>
          <w:ilvl w:val="0"/>
          <w:numId w:val="2"/>
        </w:numPr>
        <w:spacing w:after="50" w:line="260" w:lineRule="auto"/>
      </w:pPr>
      <w:r>
        <w:rPr>
          <w:sz w:val="21"/>
          <w:szCs w:val="21"/>
        </w:rPr>
        <w:t xml:space="preserve">adaptation of the program and materials to SoftServe's context (session decks + exercise templates);</w:t>
      </w:r>
    </w:p>
    <w:p>
      <w:pPr>
        <w:pStyle w:val="ListParagraph"/>
        <w:numPr>
          <w:ilvl w:val="0"/>
          <w:numId w:val="2"/>
        </w:numPr>
        <w:spacing w:after="50" w:line="260" w:lineRule="auto"/>
      </w:pPr>
      <w:r>
        <w:rPr>
          <w:sz w:val="21"/>
          <w:szCs w:val="21"/>
        </w:rPr>
        <w:t xml:space="preserve">delivery of the three live sessions;</w:t>
      </w:r>
    </w:p>
    <w:p>
      <w:pPr>
        <w:pStyle w:val="ListParagraph"/>
        <w:numPr>
          <w:ilvl w:val="0"/>
          <w:numId w:val="2"/>
        </w:numPr>
        <w:spacing w:after="50" w:line="260" w:lineRule="auto"/>
      </w:pPr>
      <w:r>
        <w:rPr>
          <w:sz w:val="21"/>
          <w:szCs w:val="21"/>
        </w:rPr>
        <w:t xml:space="preserve">access to all materials together with video recordings of every session;</w:t>
      </w:r>
    </w:p>
    <w:p>
      <w:pPr>
        <w:pStyle w:val="ListParagraph"/>
        <w:numPr>
          <w:ilvl w:val="0"/>
          <w:numId w:val="2"/>
        </w:numPr>
        <w:spacing w:after="50" w:line="260" w:lineRule="auto"/>
      </w:pPr>
      <w:r>
        <w:rPr>
          <w:sz w:val="21"/>
          <w:szCs w:val="21"/>
        </w:rPr>
        <w:t xml:space="preserve">a curated further-reading list for each topic.</w:t>
      </w:r>
    </w:p>
    <w:p>
      <w:pPr>
        <w:pStyle w:val="Heading1"/>
      </w:pPr>
      <w:r>
        <w:t xml:space="preserve">7. Next steps</w:t>
      </w:r>
    </w:p>
    <w:p>
      <w:pPr>
        <w:spacing w:after="50" w:line="264" w:lineRule="auto"/>
      </w:pPr>
      <w:r>
        <w:rPr>
          <w:sz w:val="21"/>
          <w:szCs w:val="21"/>
        </w:rPr>
        <w:t xml:space="preserve">To make the sessions work on real material, two steps precede the program:</w:t>
      </w:r>
    </w:p>
    <w:p>
      <w:pPr>
        <w:pStyle w:val="ListParagraph"/>
        <w:numPr>
          <w:ilvl w:val="0"/>
          <w:numId w:val="3"/>
        </w:numPr>
        <w:spacing w:after="50" w:line="260" w:lineRule="auto"/>
      </w:pPr>
      <w:r>
        <w:rPr>
          <w:b/>
          <w:bCs/>
          <w:sz w:val="21"/>
          <w:szCs w:val="21"/>
        </w:rPr>
        <w:t xml:space="preserve">Preparation. </w:t>
      </w:r>
      <w:r>
        <w:rPr>
          <w:sz w:val="21"/>
          <w:szCs w:val="21"/>
        </w:rPr>
        <w:t xml:space="preserve">The team compiles the list of products, services and initiatives in work or under consideration: the working material for the Session-1 workshop and the exercises.</w:t>
      </w:r>
    </w:p>
    <w:p>
      <w:pPr>
        <w:pStyle w:val="ListParagraph"/>
        <w:numPr>
          <w:ilvl w:val="0"/>
          <w:numId w:val="3"/>
        </w:numPr>
        <w:spacing w:after="50" w:line="260" w:lineRule="auto"/>
      </w:pPr>
      <w:r>
        <w:rPr>
          <w:b/>
          <w:bCs/>
          <w:sz w:val="21"/>
          <w:szCs w:val="21"/>
        </w:rPr>
        <w:t xml:space="preserve">Discovery session. </w:t>
      </w:r>
      <w:r>
        <w:rPr>
          <w:sz w:val="21"/>
          <w:szCs w:val="21"/>
        </w:rPr>
        <w:t xml:space="preserve">A short session with the program sponsor(s) to align expectations, participants and emphasis, and pick the working examples.</w:t>
      </w:r>
    </w:p>
    <w:p w14:paraId="24BC87A6" w14:textId="77777777" w:rsidR="00411B55" w:rsidRDefault="00000000" w:rsidP="00DD5D7B">
      <w:pPr>
        <w:spacing w:before="140" w:after="0"/>
      </w:pPr>
      <w:r>
        <w:rPr>
          <w:color w:val="595959"/>
          <w:sz w:val="21"/>
          <w:szCs w:val="21"/>
        </w:rPr>
        <w:t>With best regards,</w:t>
      </w:r>
    </w:p>
    <w:p w14:paraId="6FACC165" w14:textId="46E67EEA" w:rsidR="00411B55" w:rsidRDefault="00195DF9" w:rsidP="00DD5D7B">
      <w:pPr>
        <w:spacing w:before="0" w:after="20"/>
      </w:pPr>
      <w:r>
        <w:rPr>
          <w:b/>
          <w:bCs/>
          <w:sz w:val="21"/>
          <w:szCs w:val="21"/>
        </w:rPr>
        <w:t>Alex</w:t>
      </w:r>
      <w:r w:rsidR="00000000">
        <w:rPr>
          <w:b/>
          <w:bCs/>
          <w:sz w:val="21"/>
          <w:szCs w:val="21"/>
        </w:rPr>
        <w:t xml:space="preserve"> Orlov</w:t>
      </w:r>
    </w:p>
    <w:sectPr w:rsidR="00411B55">
      <w:footerReference w:type="default" r:id="rId8"/>
      <w:pgSz w:w="12240" w:h="15840"/>
      <w:pgMar w:top="1150" w:right="1440" w:bottom="115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D26498" w14:textId="77777777" w:rsidR="00050477" w:rsidRDefault="00050477">
      <w:pPr>
        <w:spacing w:before="0" w:after="0" w:line="240" w:lineRule="auto"/>
      </w:pPr>
      <w:r>
        <w:separator/>
      </w:r>
    </w:p>
  </w:endnote>
  <w:endnote w:type="continuationSeparator" w:id="0">
    <w:p w14:paraId="13DE8DA8" w14:textId="77777777" w:rsidR="00050477" w:rsidRDefault="000504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008F3" w14:textId="6A06B530" w:rsidR="00411B55" w:rsidRDefault="00DD5D7B">
    <w:pPr>
      <w:pBdr>
        <w:top w:val="single" w:sz="4" w:space="6" w:color="D9D9D9"/>
      </w:pBdr>
      <w:tabs>
        <w:tab w:val="right" w:pos="9360"/>
      </w:tabs>
    </w:pPr>
    <w:r>
      <w:rPr>
        <w:color w:val="7F7F7F"/>
        <w:sz w:val="16"/>
        <w:szCs w:val="16"/>
      </w:rPr>
      <w:t>Alex</w:t>
    </w:r>
    <w:r w:rsidR="00000000">
      <w:rPr>
        <w:color w:val="7F7F7F"/>
        <w:sz w:val="16"/>
        <w:szCs w:val="16"/>
      </w:rPr>
      <w:t xml:space="preserve"> </w:t>
    </w:r>
    <w:proofErr w:type="gramStart"/>
    <w:r w:rsidR="00000000">
      <w:rPr>
        <w:color w:val="7F7F7F"/>
        <w:sz w:val="16"/>
        <w:szCs w:val="16"/>
      </w:rPr>
      <w:t xml:space="preserve">Orlov  </w:t>
    </w:r>
    <w:bookmarkStart w:id="0" w:name="OLE_LINK1"/>
    <w:r w:rsidR="00000000">
      <w:rPr>
        <w:color w:val="7F7F7F"/>
        <w:sz w:val="16"/>
        <w:szCs w:val="16"/>
      </w:rPr>
      <w:t>·</w:t>
    </w:r>
    <w:proofErr w:type="gramEnd"/>
    <w:r w:rsidR="00000000">
      <w:rPr>
        <w:color w:val="7F7F7F"/>
        <w:sz w:val="16"/>
        <w:szCs w:val="16"/>
      </w:rPr>
      <w:t xml:space="preserve"> </w:t>
    </w:r>
    <w:bookmarkEnd w:id="0"/>
    <w:r w:rsidR="00000000">
      <w:rPr>
        <w:color w:val="7F7F7F"/>
        <w:sz w:val="16"/>
        <w:szCs w:val="16"/>
      </w:rPr>
      <w:t xml:space="preserve"> </w:t>
    </w:r>
    <w:r w:rsidRPr="00DD5D7B">
      <w:rPr>
        <w:color w:val="7F7F7F"/>
        <w:sz w:val="16"/>
        <w:szCs w:val="16"/>
      </w:rPr>
      <w:t xml:space="preserve">A 6-hour introductory program </w:t>
    </w:r>
    <w:r w:rsidR="00000000">
      <w:rPr>
        <w:sz w:val="16"/>
        <w:szCs w:val="16"/>
      </w:rPr>
      <w:tab/>
    </w:r>
    <w:r w:rsidR="00000000">
      <w:rPr>
        <w:color w:val="7F7F7F"/>
        <w:sz w:val="16"/>
        <w:szCs w:val="16"/>
      </w:rPr>
      <w:t xml:space="preserve">Page </w:t>
    </w:r>
    <w:r w:rsidR="00000000">
      <w:rPr>
        <w:color w:val="7F7F7F"/>
        <w:sz w:val="16"/>
        <w:szCs w:val="16"/>
      </w:rPr>
      <w:fldChar w:fldCharType="begin"/>
    </w:r>
    <w:r w:rsidR="00000000">
      <w:rPr>
        <w:color w:val="7F7F7F"/>
        <w:sz w:val="16"/>
        <w:szCs w:val="16"/>
      </w:rPr>
      <w:instrText>PAGE</w:instrText>
    </w:r>
    <w:r w:rsidR="00000000">
      <w:rPr>
        <w:color w:val="7F7F7F"/>
        <w:sz w:val="16"/>
        <w:szCs w:val="16"/>
      </w:rPr>
      <w:fldChar w:fldCharType="separate"/>
    </w:r>
    <w:r w:rsidR="009D0B57">
      <w:rPr>
        <w:noProof/>
        <w:color w:val="7F7F7F"/>
        <w:sz w:val="16"/>
        <w:szCs w:val="16"/>
      </w:rPr>
      <w:t>1</w:t>
    </w:r>
    <w:r w:rsidR="00000000">
      <w:rPr>
        <w:color w:val="7F7F7F"/>
        <w:sz w:val="16"/>
        <w:szCs w:val="16"/>
      </w:rPr>
      <w:fldChar w:fldCharType="end"/>
    </w:r>
    <w:r w:rsidR="00000000">
      <w:rPr>
        <w:color w:val="7F7F7F"/>
        <w:sz w:val="16"/>
        <w:szCs w:val="16"/>
      </w:rPr>
      <w:t xml:space="preserve"> / </w:t>
    </w:r>
    <w:r w:rsidR="00000000">
      <w:rPr>
        <w:color w:val="7F7F7F"/>
        <w:sz w:val="16"/>
        <w:szCs w:val="16"/>
      </w:rPr>
      <w:fldChar w:fldCharType="begin"/>
    </w:r>
    <w:r w:rsidR="00000000">
      <w:rPr>
        <w:color w:val="7F7F7F"/>
        <w:sz w:val="16"/>
        <w:szCs w:val="16"/>
      </w:rPr>
      <w:instrText>NUMPAGES</w:instrText>
    </w:r>
    <w:r w:rsidR="00000000">
      <w:rPr>
        <w:color w:val="7F7F7F"/>
        <w:sz w:val="16"/>
        <w:szCs w:val="16"/>
      </w:rPr>
      <w:fldChar w:fldCharType="separate"/>
    </w:r>
    <w:r w:rsidR="009D0B57">
      <w:rPr>
        <w:noProof/>
        <w:color w:val="7F7F7F"/>
        <w:sz w:val="16"/>
        <w:szCs w:val="16"/>
      </w:rPr>
      <w:t>2</w:t>
    </w:r>
    <w:r w:rsidR="00000000">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457D7" w14:textId="00E74A7C" w:rsidR="00411B55" w:rsidRDefault="007B6FAD">
    <w:pPr>
      <w:pBdr>
        <w:top w:val="single" w:sz="4" w:space="6" w:color="D9D9D9"/>
      </w:pBdr>
      <w:tabs>
        <w:tab w:val="right" w:pos="13680"/>
      </w:tabs>
    </w:pPr>
    <w:r>
      <w:rPr>
        <w:color w:val="7F7F7F"/>
        <w:sz w:val="16"/>
        <w:szCs w:val="16"/>
      </w:rPr>
      <w:t xml:space="preserve">Alex </w:t>
    </w:r>
    <w:proofErr w:type="gramStart"/>
    <w:r>
      <w:rPr>
        <w:color w:val="7F7F7F"/>
        <w:sz w:val="16"/>
        <w:szCs w:val="16"/>
      </w:rPr>
      <w:t>Orlov  ·</w:t>
    </w:r>
    <w:proofErr w:type="gramEnd"/>
    <w:r>
      <w:rPr>
        <w:color w:val="7F7F7F"/>
        <w:sz w:val="16"/>
        <w:szCs w:val="16"/>
      </w:rPr>
      <w:t xml:space="preserve">  </w:t>
    </w:r>
    <w:r w:rsidRPr="00DD5D7B">
      <w:rPr>
        <w:color w:val="7F7F7F"/>
        <w:sz w:val="16"/>
        <w:szCs w:val="16"/>
      </w:rPr>
      <w:t xml:space="preserve">A bespoke training &amp; transformation program </w:t>
    </w:r>
    <w:r w:rsidR="00000000">
      <w:rPr>
        <w:sz w:val="16"/>
        <w:szCs w:val="16"/>
      </w:rPr>
      <w:tab/>
    </w:r>
    <w:r w:rsidR="00000000">
      <w:rPr>
        <w:color w:val="7F7F7F"/>
        <w:sz w:val="16"/>
        <w:szCs w:val="16"/>
      </w:rPr>
      <w:t xml:space="preserve">Page </w:t>
    </w:r>
    <w:r w:rsidR="00000000">
      <w:rPr>
        <w:color w:val="7F7F7F"/>
        <w:sz w:val="16"/>
        <w:szCs w:val="16"/>
      </w:rPr>
      <w:fldChar w:fldCharType="begin"/>
    </w:r>
    <w:r w:rsidR="00000000">
      <w:rPr>
        <w:color w:val="7F7F7F"/>
        <w:sz w:val="16"/>
        <w:szCs w:val="16"/>
      </w:rPr>
      <w:instrText>PAGE</w:instrText>
    </w:r>
    <w:r w:rsidR="00000000">
      <w:rPr>
        <w:color w:val="7F7F7F"/>
        <w:sz w:val="16"/>
        <w:szCs w:val="16"/>
      </w:rPr>
      <w:fldChar w:fldCharType="separate"/>
    </w:r>
    <w:r w:rsidR="009D0B57">
      <w:rPr>
        <w:noProof/>
        <w:color w:val="7F7F7F"/>
        <w:sz w:val="16"/>
        <w:szCs w:val="16"/>
      </w:rPr>
      <w:t>4</w:t>
    </w:r>
    <w:r w:rsidR="00000000">
      <w:rPr>
        <w:color w:val="7F7F7F"/>
        <w:sz w:val="16"/>
        <w:szCs w:val="16"/>
      </w:rPr>
      <w:fldChar w:fldCharType="end"/>
    </w:r>
    <w:r w:rsidR="00000000">
      <w:rPr>
        <w:color w:val="7F7F7F"/>
        <w:sz w:val="16"/>
        <w:szCs w:val="16"/>
      </w:rPr>
      <w:t xml:space="preserve"> / </w:t>
    </w:r>
    <w:r w:rsidR="00000000">
      <w:rPr>
        <w:color w:val="7F7F7F"/>
        <w:sz w:val="16"/>
        <w:szCs w:val="16"/>
      </w:rPr>
      <w:fldChar w:fldCharType="begin"/>
    </w:r>
    <w:r w:rsidR="00000000">
      <w:rPr>
        <w:color w:val="7F7F7F"/>
        <w:sz w:val="16"/>
        <w:szCs w:val="16"/>
      </w:rPr>
      <w:instrText>NUMPAGES</w:instrText>
    </w:r>
    <w:r w:rsidR="00000000">
      <w:rPr>
        <w:color w:val="7F7F7F"/>
        <w:sz w:val="16"/>
        <w:szCs w:val="16"/>
      </w:rPr>
      <w:fldChar w:fldCharType="separate"/>
    </w:r>
    <w:r w:rsidR="009D0B57">
      <w:rPr>
        <w:noProof/>
        <w:color w:val="7F7F7F"/>
        <w:sz w:val="16"/>
        <w:szCs w:val="16"/>
      </w:rPr>
      <w:t>5</w:t>
    </w:r>
    <w:r w:rsidR="00000000">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FE551E" w14:textId="77777777" w:rsidR="00050477" w:rsidRDefault="00050477">
      <w:pPr>
        <w:spacing w:before="0" w:after="0" w:line="240" w:lineRule="auto"/>
      </w:pPr>
      <w:r>
        <w:separator/>
      </w:r>
    </w:p>
  </w:footnote>
  <w:footnote w:type="continuationSeparator" w:id="0">
    <w:p w14:paraId="27868DE2" w14:textId="77777777" w:rsidR="00050477" w:rsidRDefault="000504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293423"/>
    <w:multiLevelType w:val="hybridMultilevel"/>
    <w:tmpl w:val="CC8A708C"/>
    <w:lvl w:ilvl="0" w:tplc="40268308">
      <w:start w:val="1"/>
      <w:numFmt w:val="decimal"/>
      <w:lvlText w:val="%1."/>
      <w:lvlJc w:val="left"/>
      <w:pPr>
        <w:ind w:left="400" w:hanging="230"/>
      </w:pPr>
    </w:lvl>
    <w:lvl w:ilvl="1" w:tplc="3C4EE226">
      <w:numFmt w:val="decimal"/>
      <w:lvlText w:val=""/>
      <w:lvlJc w:val="left"/>
    </w:lvl>
    <w:lvl w:ilvl="2" w:tplc="8C9489E4">
      <w:numFmt w:val="decimal"/>
      <w:lvlText w:val=""/>
      <w:lvlJc w:val="left"/>
    </w:lvl>
    <w:lvl w:ilvl="3" w:tplc="61D82E5A">
      <w:numFmt w:val="decimal"/>
      <w:lvlText w:val=""/>
      <w:lvlJc w:val="left"/>
    </w:lvl>
    <w:lvl w:ilvl="4" w:tplc="7B68B63E">
      <w:numFmt w:val="decimal"/>
      <w:lvlText w:val=""/>
      <w:lvlJc w:val="left"/>
    </w:lvl>
    <w:lvl w:ilvl="5" w:tplc="F1981ADA">
      <w:numFmt w:val="decimal"/>
      <w:lvlText w:val=""/>
      <w:lvlJc w:val="left"/>
    </w:lvl>
    <w:lvl w:ilvl="6" w:tplc="600E4EDA">
      <w:numFmt w:val="decimal"/>
      <w:lvlText w:val=""/>
      <w:lvlJc w:val="left"/>
    </w:lvl>
    <w:lvl w:ilvl="7" w:tplc="7884D452">
      <w:numFmt w:val="decimal"/>
      <w:lvlText w:val=""/>
      <w:lvlJc w:val="left"/>
    </w:lvl>
    <w:lvl w:ilvl="8" w:tplc="C55836F4">
      <w:numFmt w:val="decimal"/>
      <w:lvlText w:val=""/>
      <w:lvlJc w:val="left"/>
    </w:lvl>
  </w:abstractNum>
  <w:abstractNum w:abstractNumId="1" w15:restartNumberingAfterBreak="0">
    <w:nsid w:val="32040B85"/>
    <w:multiLevelType w:val="hybridMultilevel"/>
    <w:tmpl w:val="2C62F48E"/>
    <w:lvl w:ilvl="0" w:tplc="9F982642">
      <w:start w:val="1"/>
      <w:numFmt w:val="bullet"/>
      <w:lvlText w:val="•"/>
      <w:lvlJc w:val="left"/>
      <w:pPr>
        <w:ind w:left="400" w:hanging="230"/>
      </w:pPr>
    </w:lvl>
    <w:lvl w:ilvl="1" w:tplc="1C345F1C">
      <w:numFmt w:val="decimal"/>
      <w:lvlText w:val=""/>
      <w:lvlJc w:val="left"/>
    </w:lvl>
    <w:lvl w:ilvl="2" w:tplc="4CACDE88">
      <w:numFmt w:val="decimal"/>
      <w:lvlText w:val=""/>
      <w:lvlJc w:val="left"/>
    </w:lvl>
    <w:lvl w:ilvl="3" w:tplc="AB44C3C4">
      <w:numFmt w:val="decimal"/>
      <w:lvlText w:val=""/>
      <w:lvlJc w:val="left"/>
    </w:lvl>
    <w:lvl w:ilvl="4" w:tplc="AC6A0BA8">
      <w:numFmt w:val="decimal"/>
      <w:lvlText w:val=""/>
      <w:lvlJc w:val="left"/>
    </w:lvl>
    <w:lvl w:ilvl="5" w:tplc="788C33BE">
      <w:numFmt w:val="decimal"/>
      <w:lvlText w:val=""/>
      <w:lvlJc w:val="left"/>
    </w:lvl>
    <w:lvl w:ilvl="6" w:tplc="7F66E054">
      <w:numFmt w:val="decimal"/>
      <w:lvlText w:val=""/>
      <w:lvlJc w:val="left"/>
    </w:lvl>
    <w:lvl w:ilvl="7" w:tplc="9E163BAE">
      <w:numFmt w:val="decimal"/>
      <w:lvlText w:val=""/>
      <w:lvlJc w:val="left"/>
    </w:lvl>
    <w:lvl w:ilvl="8" w:tplc="DEC84D78">
      <w:numFmt w:val="decimal"/>
      <w:lvlText w:val=""/>
      <w:lvlJc w:val="left"/>
    </w:lvl>
  </w:abstractNum>
  <w:abstractNum w:abstractNumId="2" w15:restartNumberingAfterBreak="0">
    <w:nsid w:val="48011AE5"/>
    <w:multiLevelType w:val="hybridMultilevel"/>
    <w:tmpl w:val="0F023E9C"/>
    <w:lvl w:ilvl="0" w:tplc="59268A2E">
      <w:start w:val="1"/>
      <w:numFmt w:val="bullet"/>
      <w:lvlText w:val="●"/>
      <w:lvlJc w:val="left"/>
      <w:pPr>
        <w:ind w:left="720" w:hanging="360"/>
      </w:pPr>
    </w:lvl>
    <w:lvl w:ilvl="1" w:tplc="6D5A7800">
      <w:start w:val="1"/>
      <w:numFmt w:val="bullet"/>
      <w:lvlText w:val="○"/>
      <w:lvlJc w:val="left"/>
      <w:pPr>
        <w:ind w:left="1440" w:hanging="360"/>
      </w:pPr>
    </w:lvl>
    <w:lvl w:ilvl="2" w:tplc="1B8C3E6A">
      <w:start w:val="1"/>
      <w:numFmt w:val="bullet"/>
      <w:lvlText w:val="■"/>
      <w:lvlJc w:val="left"/>
      <w:pPr>
        <w:ind w:left="2160" w:hanging="360"/>
      </w:pPr>
    </w:lvl>
    <w:lvl w:ilvl="3" w:tplc="F814B65A">
      <w:start w:val="1"/>
      <w:numFmt w:val="bullet"/>
      <w:lvlText w:val="●"/>
      <w:lvlJc w:val="left"/>
      <w:pPr>
        <w:ind w:left="2880" w:hanging="360"/>
      </w:pPr>
    </w:lvl>
    <w:lvl w:ilvl="4" w:tplc="4F96AD48">
      <w:start w:val="1"/>
      <w:numFmt w:val="bullet"/>
      <w:lvlText w:val="○"/>
      <w:lvlJc w:val="left"/>
      <w:pPr>
        <w:ind w:left="3600" w:hanging="360"/>
      </w:pPr>
    </w:lvl>
    <w:lvl w:ilvl="5" w:tplc="280E2DAE">
      <w:start w:val="1"/>
      <w:numFmt w:val="bullet"/>
      <w:lvlText w:val="■"/>
      <w:lvlJc w:val="left"/>
      <w:pPr>
        <w:ind w:left="4320" w:hanging="360"/>
      </w:pPr>
    </w:lvl>
    <w:lvl w:ilvl="6" w:tplc="B7AA8BC6">
      <w:start w:val="1"/>
      <w:numFmt w:val="bullet"/>
      <w:lvlText w:val="●"/>
      <w:lvlJc w:val="left"/>
      <w:pPr>
        <w:ind w:left="5040" w:hanging="360"/>
      </w:pPr>
    </w:lvl>
    <w:lvl w:ilvl="7" w:tplc="B09E3186">
      <w:start w:val="1"/>
      <w:numFmt w:val="bullet"/>
      <w:lvlText w:val="●"/>
      <w:lvlJc w:val="left"/>
      <w:pPr>
        <w:ind w:left="5760" w:hanging="360"/>
      </w:pPr>
    </w:lvl>
    <w:lvl w:ilvl="8" w:tplc="2D86E870">
      <w:start w:val="1"/>
      <w:numFmt w:val="bullet"/>
      <w:lvlText w:val="●"/>
      <w:lvlJc w:val="left"/>
      <w:pPr>
        <w:ind w:left="6480" w:hanging="360"/>
      </w:pPr>
    </w:lvl>
  </w:abstractNum>
  <w:abstractNum w:abstractNumId="3" w15:restartNumberingAfterBreak="0">
    <w:nsid w:val="5FED49C3"/>
    <w:multiLevelType w:val="hybridMultilevel"/>
    <w:tmpl w:val="0ABE7132"/>
    <w:lvl w:ilvl="0" w:tplc="1FD69652">
      <w:start w:val="1"/>
      <w:numFmt w:val="bullet"/>
      <w:lvlText w:val="–"/>
      <w:lvlJc w:val="left"/>
      <w:pPr>
        <w:ind w:left="190" w:hanging="130"/>
      </w:pPr>
    </w:lvl>
    <w:lvl w:ilvl="1" w:tplc="58842CAE">
      <w:numFmt w:val="decimal"/>
      <w:lvlText w:val=""/>
      <w:lvlJc w:val="left"/>
    </w:lvl>
    <w:lvl w:ilvl="2" w:tplc="7272F3E6">
      <w:numFmt w:val="decimal"/>
      <w:lvlText w:val=""/>
      <w:lvlJc w:val="left"/>
    </w:lvl>
    <w:lvl w:ilvl="3" w:tplc="720CAD3E">
      <w:numFmt w:val="decimal"/>
      <w:lvlText w:val=""/>
      <w:lvlJc w:val="left"/>
    </w:lvl>
    <w:lvl w:ilvl="4" w:tplc="B43867AC">
      <w:numFmt w:val="decimal"/>
      <w:lvlText w:val=""/>
      <w:lvlJc w:val="left"/>
    </w:lvl>
    <w:lvl w:ilvl="5" w:tplc="B2B08C2C">
      <w:numFmt w:val="decimal"/>
      <w:lvlText w:val=""/>
      <w:lvlJc w:val="left"/>
    </w:lvl>
    <w:lvl w:ilvl="6" w:tplc="F9443C42">
      <w:numFmt w:val="decimal"/>
      <w:lvlText w:val=""/>
      <w:lvlJc w:val="left"/>
    </w:lvl>
    <w:lvl w:ilvl="7" w:tplc="015A51E0">
      <w:numFmt w:val="decimal"/>
      <w:lvlText w:val=""/>
      <w:lvlJc w:val="left"/>
    </w:lvl>
    <w:lvl w:ilvl="8" w:tplc="8EBEA428">
      <w:numFmt w:val="decimal"/>
      <w:lvlText w:val=""/>
      <w:lvlJc w:val="left"/>
    </w:lvl>
  </w:abstractNum>
  <w:num w:numId="1" w16cid:durableId="2056543408">
    <w:abstractNumId w:val="2"/>
    <w:lvlOverride w:ilvl="0">
      <w:startOverride w:val="1"/>
    </w:lvlOverride>
  </w:num>
  <w:num w:numId="2" w16cid:durableId="754015877">
    <w:abstractNumId w:val="1"/>
    <w:lvlOverride w:ilvl="0">
      <w:startOverride w:val="1"/>
    </w:lvlOverride>
  </w:num>
  <w:num w:numId="3" w16cid:durableId="681778712">
    <w:abstractNumId w:val="0"/>
    <w:lvlOverride w:ilvl="0">
      <w:startOverride w:val="1"/>
    </w:lvlOverride>
  </w:num>
  <w:num w:numId="4" w16cid:durableId="14000718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B55"/>
    <w:rsid w:val="00050477"/>
    <w:rsid w:val="00083401"/>
    <w:rsid w:val="00195DF9"/>
    <w:rsid w:val="00343BC2"/>
    <w:rsid w:val="00411B55"/>
    <w:rsid w:val="004F1C49"/>
    <w:rsid w:val="00565A25"/>
    <w:rsid w:val="00594E8A"/>
    <w:rsid w:val="006407C5"/>
    <w:rsid w:val="007B6FAD"/>
    <w:rsid w:val="008024A2"/>
    <w:rsid w:val="009D0B57"/>
    <w:rsid w:val="009F3037"/>
    <w:rsid w:val="009F62F0"/>
    <w:rsid w:val="00CB6509"/>
    <w:rsid w:val="00D664D0"/>
    <w:rsid w:val="00DD5D7B"/>
    <w:rsid w:val="00E10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B93B"/>
  <w15:docId w15:val="{F7D97983-0AD3-CD46-9DBE-2D1482C4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B57"/>
    <w:rPr>
      <w:sz w:val="20"/>
      <w:szCs w:val="20"/>
    </w:rPr>
  </w:style>
  <w:style w:type="paragraph" w:styleId="Heading1">
    <w:name w:val="heading 1"/>
    <w:basedOn w:val="Normal"/>
    <w:next w:val="Normal"/>
    <w:link w:val="Heading1Char"/>
    <w:uiPriority w:val="9"/>
    <w:qFormat/>
    <w:rsid w:val="009D0B57"/>
    <w:pPr>
      <w:pBdr>
        <w:top w:val="single" w:sz="24" w:space="0" w:color="F8B323" w:themeColor="accent1"/>
        <w:left w:val="single" w:sz="24" w:space="0" w:color="F8B323" w:themeColor="accent1"/>
        <w:bottom w:val="single" w:sz="24" w:space="0" w:color="F8B323" w:themeColor="accent1"/>
        <w:right w:val="single" w:sz="24" w:space="0" w:color="F8B323" w:themeColor="accent1"/>
      </w:pBdr>
      <w:shd w:val="clear" w:color="auto" w:fill="F8B323"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D0B57"/>
    <w:pPr>
      <w:pBdr>
        <w:top w:val="single" w:sz="24" w:space="0" w:color="FDEFD2" w:themeColor="accent1" w:themeTint="33"/>
        <w:left w:val="single" w:sz="24" w:space="0" w:color="FDEFD2" w:themeColor="accent1" w:themeTint="33"/>
        <w:bottom w:val="single" w:sz="24" w:space="0" w:color="FDEFD2" w:themeColor="accent1" w:themeTint="33"/>
        <w:right w:val="single" w:sz="24" w:space="0" w:color="FDEFD2" w:themeColor="accent1" w:themeTint="33"/>
      </w:pBdr>
      <w:shd w:val="clear" w:color="auto" w:fill="FDEFD2"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9D0B57"/>
    <w:pPr>
      <w:pBdr>
        <w:top w:val="single" w:sz="6" w:space="2" w:color="F8B323" w:themeColor="accent1"/>
        <w:left w:val="single" w:sz="6" w:space="2" w:color="F8B323" w:themeColor="accent1"/>
      </w:pBdr>
      <w:spacing w:before="300" w:after="0"/>
      <w:outlineLvl w:val="2"/>
    </w:pPr>
    <w:rPr>
      <w:caps/>
      <w:color w:val="885D04" w:themeColor="accent1" w:themeShade="7F"/>
      <w:spacing w:val="15"/>
      <w:sz w:val="22"/>
      <w:szCs w:val="22"/>
    </w:rPr>
  </w:style>
  <w:style w:type="paragraph" w:styleId="Heading4">
    <w:name w:val="heading 4"/>
    <w:basedOn w:val="Normal"/>
    <w:next w:val="Normal"/>
    <w:link w:val="Heading4Char"/>
    <w:uiPriority w:val="9"/>
    <w:semiHidden/>
    <w:unhideWhenUsed/>
    <w:qFormat/>
    <w:rsid w:val="009D0B57"/>
    <w:pPr>
      <w:pBdr>
        <w:top w:val="dotted" w:sz="6" w:space="2" w:color="F8B323" w:themeColor="accent1"/>
        <w:left w:val="dotted" w:sz="6" w:space="2" w:color="F8B323" w:themeColor="accent1"/>
      </w:pBdr>
      <w:spacing w:before="300" w:after="0"/>
      <w:outlineLvl w:val="3"/>
    </w:pPr>
    <w:rPr>
      <w:caps/>
      <w:color w:val="CD8C06" w:themeColor="accent1" w:themeShade="BF"/>
      <w:spacing w:val="10"/>
      <w:sz w:val="22"/>
      <w:szCs w:val="22"/>
    </w:rPr>
  </w:style>
  <w:style w:type="paragraph" w:styleId="Heading5">
    <w:name w:val="heading 5"/>
    <w:basedOn w:val="Normal"/>
    <w:next w:val="Normal"/>
    <w:link w:val="Heading5Char"/>
    <w:uiPriority w:val="9"/>
    <w:semiHidden/>
    <w:unhideWhenUsed/>
    <w:qFormat/>
    <w:rsid w:val="009D0B57"/>
    <w:pPr>
      <w:pBdr>
        <w:bottom w:val="single" w:sz="6" w:space="1" w:color="F8B323" w:themeColor="accent1"/>
      </w:pBdr>
      <w:spacing w:before="300" w:after="0"/>
      <w:outlineLvl w:val="4"/>
    </w:pPr>
    <w:rPr>
      <w:caps/>
      <w:color w:val="CD8C06" w:themeColor="accent1" w:themeShade="BF"/>
      <w:spacing w:val="10"/>
      <w:sz w:val="22"/>
      <w:szCs w:val="22"/>
    </w:rPr>
  </w:style>
  <w:style w:type="paragraph" w:styleId="Heading6">
    <w:name w:val="heading 6"/>
    <w:basedOn w:val="Normal"/>
    <w:next w:val="Normal"/>
    <w:link w:val="Heading6Char"/>
    <w:uiPriority w:val="9"/>
    <w:semiHidden/>
    <w:unhideWhenUsed/>
    <w:qFormat/>
    <w:rsid w:val="009D0B57"/>
    <w:pPr>
      <w:pBdr>
        <w:bottom w:val="dotted" w:sz="6" w:space="1" w:color="F8B323" w:themeColor="accent1"/>
      </w:pBdr>
      <w:spacing w:before="300" w:after="0"/>
      <w:outlineLvl w:val="5"/>
    </w:pPr>
    <w:rPr>
      <w:caps/>
      <w:color w:val="CD8C06" w:themeColor="accent1" w:themeShade="BF"/>
      <w:spacing w:val="10"/>
      <w:sz w:val="22"/>
      <w:szCs w:val="22"/>
    </w:rPr>
  </w:style>
  <w:style w:type="paragraph" w:styleId="Heading7">
    <w:name w:val="heading 7"/>
    <w:basedOn w:val="Normal"/>
    <w:next w:val="Normal"/>
    <w:link w:val="Heading7Char"/>
    <w:uiPriority w:val="9"/>
    <w:semiHidden/>
    <w:unhideWhenUsed/>
    <w:qFormat/>
    <w:rsid w:val="009D0B57"/>
    <w:pPr>
      <w:spacing w:before="300" w:after="0"/>
      <w:outlineLvl w:val="6"/>
    </w:pPr>
    <w:rPr>
      <w:caps/>
      <w:color w:val="CD8C06" w:themeColor="accent1" w:themeShade="BF"/>
      <w:spacing w:val="10"/>
      <w:sz w:val="22"/>
      <w:szCs w:val="22"/>
    </w:rPr>
  </w:style>
  <w:style w:type="paragraph" w:styleId="Heading8">
    <w:name w:val="heading 8"/>
    <w:basedOn w:val="Normal"/>
    <w:next w:val="Normal"/>
    <w:link w:val="Heading8Char"/>
    <w:uiPriority w:val="9"/>
    <w:semiHidden/>
    <w:unhideWhenUsed/>
    <w:qFormat/>
    <w:rsid w:val="009D0B5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D0B5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0B57"/>
    <w:pPr>
      <w:spacing w:before="720"/>
    </w:pPr>
    <w:rPr>
      <w:caps/>
      <w:color w:val="F8B323" w:themeColor="accent1"/>
      <w:spacing w:val="10"/>
      <w:kern w:val="28"/>
      <w:sz w:val="52"/>
      <w:szCs w:val="52"/>
    </w:rPr>
  </w:style>
  <w:style w:type="paragraph" w:customStyle="1" w:styleId="Strong1">
    <w:name w:val="Strong1"/>
    <w:rPr>
      <w:b/>
      <w:bCs/>
    </w:rPr>
  </w:style>
  <w:style w:type="paragraph" w:styleId="ListParagraph">
    <w:name w:val="List Paragraph"/>
    <w:basedOn w:val="Normal"/>
    <w:uiPriority w:val="34"/>
    <w:qFormat/>
    <w:rsid w:val="009D0B57"/>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D0B57"/>
    <w:rPr>
      <w:b/>
      <w:bCs/>
      <w:caps/>
      <w:color w:val="FFFFFF" w:themeColor="background1"/>
      <w:spacing w:val="15"/>
      <w:shd w:val="clear" w:color="auto" w:fill="F8B323" w:themeFill="accent1"/>
    </w:rPr>
  </w:style>
  <w:style w:type="character" w:customStyle="1" w:styleId="Heading2Char">
    <w:name w:val="Heading 2 Char"/>
    <w:basedOn w:val="DefaultParagraphFont"/>
    <w:link w:val="Heading2"/>
    <w:uiPriority w:val="9"/>
    <w:semiHidden/>
    <w:rsid w:val="009D0B57"/>
    <w:rPr>
      <w:caps/>
      <w:spacing w:val="15"/>
      <w:shd w:val="clear" w:color="auto" w:fill="FDEFD2" w:themeFill="accent1" w:themeFillTint="33"/>
    </w:rPr>
  </w:style>
  <w:style w:type="character" w:customStyle="1" w:styleId="Heading3Char">
    <w:name w:val="Heading 3 Char"/>
    <w:basedOn w:val="DefaultParagraphFont"/>
    <w:link w:val="Heading3"/>
    <w:uiPriority w:val="9"/>
    <w:semiHidden/>
    <w:rsid w:val="009D0B57"/>
    <w:rPr>
      <w:caps/>
      <w:color w:val="885D04" w:themeColor="accent1" w:themeShade="7F"/>
      <w:spacing w:val="15"/>
    </w:rPr>
  </w:style>
  <w:style w:type="character" w:customStyle="1" w:styleId="Heading4Char">
    <w:name w:val="Heading 4 Char"/>
    <w:basedOn w:val="DefaultParagraphFont"/>
    <w:link w:val="Heading4"/>
    <w:uiPriority w:val="9"/>
    <w:semiHidden/>
    <w:rsid w:val="009D0B57"/>
    <w:rPr>
      <w:caps/>
      <w:color w:val="CD8C06" w:themeColor="accent1" w:themeShade="BF"/>
      <w:spacing w:val="10"/>
    </w:rPr>
  </w:style>
  <w:style w:type="character" w:customStyle="1" w:styleId="Heading5Char">
    <w:name w:val="Heading 5 Char"/>
    <w:basedOn w:val="DefaultParagraphFont"/>
    <w:link w:val="Heading5"/>
    <w:uiPriority w:val="9"/>
    <w:semiHidden/>
    <w:rsid w:val="009D0B57"/>
    <w:rPr>
      <w:caps/>
      <w:color w:val="CD8C06" w:themeColor="accent1" w:themeShade="BF"/>
      <w:spacing w:val="10"/>
    </w:rPr>
  </w:style>
  <w:style w:type="character" w:customStyle="1" w:styleId="Heading6Char">
    <w:name w:val="Heading 6 Char"/>
    <w:basedOn w:val="DefaultParagraphFont"/>
    <w:link w:val="Heading6"/>
    <w:uiPriority w:val="9"/>
    <w:semiHidden/>
    <w:rsid w:val="009D0B57"/>
    <w:rPr>
      <w:caps/>
      <w:color w:val="CD8C06" w:themeColor="accent1" w:themeShade="BF"/>
      <w:spacing w:val="10"/>
    </w:rPr>
  </w:style>
  <w:style w:type="character" w:customStyle="1" w:styleId="Heading7Char">
    <w:name w:val="Heading 7 Char"/>
    <w:basedOn w:val="DefaultParagraphFont"/>
    <w:link w:val="Heading7"/>
    <w:uiPriority w:val="9"/>
    <w:semiHidden/>
    <w:rsid w:val="009D0B57"/>
    <w:rPr>
      <w:caps/>
      <w:color w:val="CD8C06" w:themeColor="accent1" w:themeShade="BF"/>
      <w:spacing w:val="10"/>
    </w:rPr>
  </w:style>
  <w:style w:type="character" w:customStyle="1" w:styleId="Heading8Char">
    <w:name w:val="Heading 8 Char"/>
    <w:basedOn w:val="DefaultParagraphFont"/>
    <w:link w:val="Heading8"/>
    <w:uiPriority w:val="9"/>
    <w:semiHidden/>
    <w:rsid w:val="009D0B57"/>
    <w:rPr>
      <w:caps/>
      <w:spacing w:val="10"/>
      <w:sz w:val="18"/>
      <w:szCs w:val="18"/>
    </w:rPr>
  </w:style>
  <w:style w:type="character" w:customStyle="1" w:styleId="Heading9Char">
    <w:name w:val="Heading 9 Char"/>
    <w:basedOn w:val="DefaultParagraphFont"/>
    <w:link w:val="Heading9"/>
    <w:uiPriority w:val="9"/>
    <w:semiHidden/>
    <w:rsid w:val="009D0B57"/>
    <w:rPr>
      <w:i/>
      <w:caps/>
      <w:spacing w:val="10"/>
      <w:sz w:val="18"/>
      <w:szCs w:val="18"/>
    </w:rPr>
  </w:style>
  <w:style w:type="paragraph" w:styleId="Caption">
    <w:name w:val="caption"/>
    <w:basedOn w:val="Normal"/>
    <w:next w:val="Normal"/>
    <w:uiPriority w:val="35"/>
    <w:semiHidden/>
    <w:unhideWhenUsed/>
    <w:qFormat/>
    <w:rsid w:val="009D0B57"/>
    <w:rPr>
      <w:b/>
      <w:bCs/>
      <w:color w:val="CD8C06" w:themeColor="accent1" w:themeShade="BF"/>
      <w:sz w:val="16"/>
      <w:szCs w:val="16"/>
    </w:rPr>
  </w:style>
  <w:style w:type="character" w:customStyle="1" w:styleId="TitleChar">
    <w:name w:val="Title Char"/>
    <w:basedOn w:val="DefaultParagraphFont"/>
    <w:link w:val="Title"/>
    <w:uiPriority w:val="10"/>
    <w:rsid w:val="009D0B57"/>
    <w:rPr>
      <w:caps/>
      <w:color w:val="F8B323" w:themeColor="accent1"/>
      <w:spacing w:val="10"/>
      <w:kern w:val="28"/>
      <w:sz w:val="52"/>
      <w:szCs w:val="52"/>
    </w:rPr>
  </w:style>
  <w:style w:type="paragraph" w:styleId="Subtitle">
    <w:name w:val="Subtitle"/>
    <w:basedOn w:val="Normal"/>
    <w:next w:val="Normal"/>
    <w:link w:val="SubtitleChar"/>
    <w:uiPriority w:val="11"/>
    <w:qFormat/>
    <w:rsid w:val="009D0B5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D0B57"/>
    <w:rPr>
      <w:caps/>
      <w:color w:val="595959" w:themeColor="text1" w:themeTint="A6"/>
      <w:spacing w:val="10"/>
      <w:sz w:val="24"/>
      <w:szCs w:val="24"/>
    </w:rPr>
  </w:style>
  <w:style w:type="character" w:styleId="Strong">
    <w:name w:val="Strong"/>
    <w:uiPriority w:val="22"/>
    <w:qFormat/>
    <w:rsid w:val="009D0B57"/>
    <w:rPr>
      <w:b/>
      <w:bCs/>
    </w:rPr>
  </w:style>
  <w:style w:type="character" w:styleId="Emphasis">
    <w:name w:val="Emphasis"/>
    <w:uiPriority w:val="20"/>
    <w:qFormat/>
    <w:rsid w:val="009D0B57"/>
    <w:rPr>
      <w:caps/>
      <w:color w:val="885D04" w:themeColor="accent1" w:themeShade="7F"/>
      <w:spacing w:val="5"/>
    </w:rPr>
  </w:style>
  <w:style w:type="paragraph" w:styleId="NoSpacing">
    <w:name w:val="No Spacing"/>
    <w:basedOn w:val="Normal"/>
    <w:link w:val="NoSpacingChar"/>
    <w:uiPriority w:val="1"/>
    <w:qFormat/>
    <w:rsid w:val="009D0B57"/>
    <w:pPr>
      <w:spacing w:before="0" w:after="0" w:line="240" w:lineRule="auto"/>
    </w:pPr>
  </w:style>
  <w:style w:type="character" w:customStyle="1" w:styleId="NoSpacingChar">
    <w:name w:val="No Spacing Char"/>
    <w:basedOn w:val="DefaultParagraphFont"/>
    <w:link w:val="NoSpacing"/>
    <w:uiPriority w:val="1"/>
    <w:rsid w:val="009D0B57"/>
    <w:rPr>
      <w:sz w:val="20"/>
      <w:szCs w:val="20"/>
    </w:rPr>
  </w:style>
  <w:style w:type="paragraph" w:styleId="Quote">
    <w:name w:val="Quote"/>
    <w:basedOn w:val="Normal"/>
    <w:next w:val="Normal"/>
    <w:link w:val="QuoteChar"/>
    <w:uiPriority w:val="29"/>
    <w:qFormat/>
    <w:rsid w:val="009D0B57"/>
    <w:rPr>
      <w:i/>
      <w:iCs/>
    </w:rPr>
  </w:style>
  <w:style w:type="character" w:customStyle="1" w:styleId="QuoteChar">
    <w:name w:val="Quote Char"/>
    <w:basedOn w:val="DefaultParagraphFont"/>
    <w:link w:val="Quote"/>
    <w:uiPriority w:val="29"/>
    <w:rsid w:val="009D0B57"/>
    <w:rPr>
      <w:i/>
      <w:iCs/>
      <w:sz w:val="20"/>
      <w:szCs w:val="20"/>
    </w:rPr>
  </w:style>
  <w:style w:type="paragraph" w:styleId="IntenseQuote">
    <w:name w:val="Intense Quote"/>
    <w:basedOn w:val="Normal"/>
    <w:next w:val="Normal"/>
    <w:link w:val="IntenseQuoteChar"/>
    <w:uiPriority w:val="30"/>
    <w:qFormat/>
    <w:rsid w:val="009D0B57"/>
    <w:pPr>
      <w:pBdr>
        <w:top w:val="single" w:sz="4" w:space="10" w:color="F8B323" w:themeColor="accent1"/>
        <w:left w:val="single" w:sz="4" w:space="10" w:color="F8B323" w:themeColor="accent1"/>
      </w:pBdr>
      <w:spacing w:after="0"/>
      <w:ind w:left="1296" w:right="1152"/>
      <w:jc w:val="both"/>
    </w:pPr>
    <w:rPr>
      <w:i/>
      <w:iCs/>
      <w:color w:val="F8B323" w:themeColor="accent1"/>
    </w:rPr>
  </w:style>
  <w:style w:type="character" w:customStyle="1" w:styleId="IntenseQuoteChar">
    <w:name w:val="Intense Quote Char"/>
    <w:basedOn w:val="DefaultParagraphFont"/>
    <w:link w:val="IntenseQuote"/>
    <w:uiPriority w:val="30"/>
    <w:rsid w:val="009D0B57"/>
    <w:rPr>
      <w:i/>
      <w:iCs/>
      <w:color w:val="F8B323" w:themeColor="accent1"/>
      <w:sz w:val="20"/>
      <w:szCs w:val="20"/>
    </w:rPr>
  </w:style>
  <w:style w:type="character" w:styleId="SubtleEmphasis">
    <w:name w:val="Subtle Emphasis"/>
    <w:uiPriority w:val="19"/>
    <w:qFormat/>
    <w:rsid w:val="009D0B57"/>
    <w:rPr>
      <w:i/>
      <w:iCs/>
      <w:color w:val="885D04" w:themeColor="accent1" w:themeShade="7F"/>
    </w:rPr>
  </w:style>
  <w:style w:type="character" w:styleId="IntenseEmphasis">
    <w:name w:val="Intense Emphasis"/>
    <w:uiPriority w:val="21"/>
    <w:qFormat/>
    <w:rsid w:val="009D0B57"/>
    <w:rPr>
      <w:b/>
      <w:bCs/>
      <w:caps/>
      <w:color w:val="885D04" w:themeColor="accent1" w:themeShade="7F"/>
      <w:spacing w:val="10"/>
    </w:rPr>
  </w:style>
  <w:style w:type="character" w:styleId="SubtleReference">
    <w:name w:val="Subtle Reference"/>
    <w:uiPriority w:val="31"/>
    <w:qFormat/>
    <w:rsid w:val="009D0B57"/>
    <w:rPr>
      <w:b/>
      <w:bCs/>
      <w:color w:val="F8B323" w:themeColor="accent1"/>
    </w:rPr>
  </w:style>
  <w:style w:type="character" w:styleId="IntenseReference">
    <w:name w:val="Intense Reference"/>
    <w:uiPriority w:val="32"/>
    <w:qFormat/>
    <w:rsid w:val="009D0B57"/>
    <w:rPr>
      <w:b/>
      <w:bCs/>
      <w:i/>
      <w:iCs/>
      <w:caps/>
      <w:color w:val="F8B323" w:themeColor="accent1"/>
    </w:rPr>
  </w:style>
  <w:style w:type="character" w:styleId="BookTitle">
    <w:name w:val="Book Title"/>
    <w:uiPriority w:val="33"/>
    <w:qFormat/>
    <w:rsid w:val="009D0B57"/>
    <w:rPr>
      <w:b/>
      <w:bCs/>
      <w:i/>
      <w:iCs/>
      <w:spacing w:val="9"/>
    </w:rPr>
  </w:style>
  <w:style w:type="paragraph" w:styleId="TOCHeading">
    <w:name w:val="TOC Heading"/>
    <w:basedOn w:val="Heading1"/>
    <w:next w:val="Normal"/>
    <w:uiPriority w:val="39"/>
    <w:semiHidden/>
    <w:unhideWhenUsed/>
    <w:qFormat/>
    <w:rsid w:val="009D0B57"/>
    <w:pPr>
      <w:outlineLvl w:val="9"/>
    </w:pPr>
  </w:style>
  <w:style w:type="table" w:styleId="ListTable5Dark-Accent1">
    <w:name w:val="List Table 5 Dark Accent 1"/>
    <w:basedOn w:val="TableNormal"/>
    <w:uiPriority w:val="50"/>
    <w:rsid w:val="009D0B57"/>
    <w:pPr>
      <w:spacing w:after="0" w:line="240" w:lineRule="auto"/>
    </w:pPr>
    <w:rPr>
      <w:color w:val="FFFFFF" w:themeColor="background1"/>
    </w:rPr>
    <w:tblPr>
      <w:tblStyleRowBandSize w:val="1"/>
      <w:tblStyleColBandSize w:val="1"/>
      <w:tblBorders>
        <w:top w:val="single" w:sz="24" w:space="0" w:color="F8B323" w:themeColor="accent1"/>
        <w:left w:val="single" w:sz="24" w:space="0" w:color="F8B323" w:themeColor="accent1"/>
        <w:bottom w:val="single" w:sz="24" w:space="0" w:color="F8B323" w:themeColor="accent1"/>
        <w:right w:val="single" w:sz="24" w:space="0" w:color="F8B323" w:themeColor="accent1"/>
      </w:tblBorders>
    </w:tblPr>
    <w:tcPr>
      <w:shd w:val="clear" w:color="auto" w:fill="F8B32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1">
    <w:name w:val="List Table 4 Accent 1"/>
    <w:basedOn w:val="TableNormal"/>
    <w:uiPriority w:val="49"/>
    <w:rsid w:val="009D0B57"/>
    <w:pPr>
      <w:spacing w:after="0" w:line="240" w:lineRule="auto"/>
    </w:p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tblBorders>
    </w:tblPr>
    <w:tblStylePr w:type="firstRow">
      <w:rPr>
        <w:b/>
        <w:bCs/>
        <w:color w:val="FFFFFF" w:themeColor="background1"/>
      </w:rPr>
      <w:tblPr/>
      <w:tcPr>
        <w:tcBorders>
          <w:top w:val="single" w:sz="4" w:space="0" w:color="F8B323" w:themeColor="accent1"/>
          <w:left w:val="single" w:sz="4" w:space="0" w:color="F8B323" w:themeColor="accent1"/>
          <w:bottom w:val="single" w:sz="4" w:space="0" w:color="F8B323" w:themeColor="accent1"/>
          <w:right w:val="single" w:sz="4" w:space="0" w:color="F8B323" w:themeColor="accent1"/>
          <w:insideH w:val="nil"/>
        </w:tcBorders>
        <w:shd w:val="clear" w:color="auto" w:fill="F8B323" w:themeFill="accent1"/>
      </w:tcPr>
    </w:tblStylePr>
    <w:tblStylePr w:type="lastRow">
      <w:rPr>
        <w:b/>
        <w:bCs/>
      </w:rPr>
      <w:tblPr/>
      <w:tcPr>
        <w:tcBorders>
          <w:top w:val="double" w:sz="4" w:space="0" w:color="FAD17A" w:themeColor="accent1" w:themeTint="99"/>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table" w:styleId="GridTable2-Accent1">
    <w:name w:val="Grid Table 2 Accent 1"/>
    <w:basedOn w:val="TableNormal"/>
    <w:uiPriority w:val="47"/>
    <w:rsid w:val="009D0B57"/>
    <w:pPr>
      <w:spacing w:after="0" w:line="240" w:lineRule="auto"/>
    </w:pPr>
    <w:tblPr>
      <w:tblStyleRowBandSize w:val="1"/>
      <w:tblStyleColBandSize w:val="1"/>
      <w:tblBorders>
        <w:top w:val="single" w:sz="2" w:space="0" w:color="FAD17A" w:themeColor="accent1" w:themeTint="99"/>
        <w:bottom w:val="single" w:sz="2" w:space="0" w:color="FAD17A" w:themeColor="accent1" w:themeTint="99"/>
        <w:insideH w:val="single" w:sz="2" w:space="0" w:color="FAD17A" w:themeColor="accent1" w:themeTint="99"/>
        <w:insideV w:val="single" w:sz="2" w:space="0" w:color="FAD17A" w:themeColor="accent1" w:themeTint="99"/>
      </w:tblBorders>
    </w:tblPr>
    <w:tblStylePr w:type="firstRow">
      <w:rPr>
        <w:b/>
        <w:bCs/>
      </w:rPr>
      <w:tblPr/>
      <w:tcPr>
        <w:tcBorders>
          <w:top w:val="nil"/>
          <w:bottom w:val="single" w:sz="12" w:space="0" w:color="FAD17A" w:themeColor="accent1" w:themeTint="99"/>
          <w:insideH w:val="nil"/>
          <w:insideV w:val="nil"/>
        </w:tcBorders>
        <w:shd w:val="clear" w:color="auto" w:fill="FFFFFF" w:themeFill="background1"/>
      </w:tcPr>
    </w:tblStylePr>
    <w:tblStylePr w:type="lastRow">
      <w:rPr>
        <w:b/>
        <w:bCs/>
      </w:rPr>
      <w:tblPr/>
      <w:tcPr>
        <w:tcBorders>
          <w:top w:val="double" w:sz="2" w:space="0" w:color="FAD17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character" w:styleId="FollowedHyperlink">
    <w:name w:val="FollowedHyperlink"/>
    <w:basedOn w:val="DefaultParagraphFont"/>
    <w:uiPriority w:val="99"/>
    <w:semiHidden/>
    <w:unhideWhenUsed/>
    <w:rsid w:val="006407C5"/>
    <w:rPr>
      <w:color w:val="A46694" w:themeColor="followedHyperlink"/>
      <w:u w:val="single"/>
    </w:rPr>
  </w:style>
  <w:style w:type="table" w:styleId="GridTable1Light-Accent1">
    <w:name w:val="Grid Table 1 Light Accent 1"/>
    <w:basedOn w:val="TableNormal"/>
    <w:uiPriority w:val="46"/>
    <w:rsid w:val="00343BC2"/>
    <w:pPr>
      <w:spacing w:after="0" w:line="240" w:lineRule="auto"/>
    </w:pPr>
    <w:tblPr>
      <w:tblStyleRowBandSize w:val="1"/>
      <w:tblStyleColBandSize w:val="1"/>
      <w:tblBorders>
        <w:top w:val="single" w:sz="4" w:space="0" w:color="FCE0A6" w:themeColor="accent1" w:themeTint="66"/>
        <w:left w:val="single" w:sz="4" w:space="0" w:color="FCE0A6" w:themeColor="accent1" w:themeTint="66"/>
        <w:bottom w:val="single" w:sz="4" w:space="0" w:color="FCE0A6" w:themeColor="accent1" w:themeTint="66"/>
        <w:right w:val="single" w:sz="4" w:space="0" w:color="FCE0A6" w:themeColor="accent1" w:themeTint="66"/>
        <w:insideH w:val="single" w:sz="4" w:space="0" w:color="FCE0A6" w:themeColor="accent1" w:themeTint="66"/>
        <w:insideV w:val="single" w:sz="4" w:space="0" w:color="FCE0A6" w:themeColor="accent1" w:themeTint="66"/>
      </w:tblBorders>
    </w:tblPr>
    <w:tblStylePr w:type="firstRow">
      <w:rPr>
        <w:b/>
        <w:bCs/>
      </w:rPr>
      <w:tblPr/>
      <w:tcPr>
        <w:tcBorders>
          <w:bottom w:val="single" w:sz="12" w:space="0" w:color="FAD17A" w:themeColor="accent1" w:themeTint="99"/>
        </w:tcBorders>
      </w:tcPr>
    </w:tblStylePr>
    <w:tblStylePr w:type="lastRow">
      <w:rPr>
        <w:b/>
        <w:bCs/>
      </w:rPr>
      <w:tblPr/>
      <w:tcPr>
        <w:tcBorders>
          <w:top w:val="double" w:sz="2" w:space="0" w:color="FAD17A"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43BC2"/>
    <w:pPr>
      <w:spacing w:after="0" w:line="240" w:lineRule="auto"/>
    </w:p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insideV w:val="single" w:sz="4" w:space="0" w:color="FAD17A" w:themeColor="accent1" w:themeTint="99"/>
      </w:tblBorders>
    </w:tblPr>
    <w:tblStylePr w:type="firstRow">
      <w:rPr>
        <w:b/>
        <w:bCs/>
        <w:color w:val="FFFFFF" w:themeColor="background1"/>
      </w:rPr>
      <w:tblPr/>
      <w:tcPr>
        <w:tcBorders>
          <w:top w:val="single" w:sz="4" w:space="0" w:color="F8B323" w:themeColor="accent1"/>
          <w:left w:val="single" w:sz="4" w:space="0" w:color="F8B323" w:themeColor="accent1"/>
          <w:bottom w:val="single" w:sz="4" w:space="0" w:color="F8B323" w:themeColor="accent1"/>
          <w:right w:val="single" w:sz="4" w:space="0" w:color="F8B323" w:themeColor="accent1"/>
          <w:insideH w:val="nil"/>
          <w:insideV w:val="nil"/>
        </w:tcBorders>
        <w:shd w:val="clear" w:color="auto" w:fill="F8B323" w:themeFill="accent1"/>
      </w:tcPr>
    </w:tblStylePr>
    <w:tblStylePr w:type="lastRow">
      <w:rPr>
        <w:b/>
        <w:bCs/>
      </w:rPr>
      <w:tblPr/>
      <w:tcPr>
        <w:tcBorders>
          <w:top w:val="double" w:sz="4" w:space="0" w:color="F8B323" w:themeColor="accent1"/>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table" w:styleId="GridTable6Colorful-Accent1">
    <w:name w:val="Grid Table 6 Colorful Accent 1"/>
    <w:basedOn w:val="TableNormal"/>
    <w:uiPriority w:val="51"/>
    <w:rsid w:val="00343BC2"/>
    <w:pPr>
      <w:spacing w:after="0" w:line="240" w:lineRule="auto"/>
    </w:pPr>
    <w:rPr>
      <w:color w:val="CD8C06" w:themeColor="accent1" w:themeShade="BF"/>
    </w:r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insideV w:val="single" w:sz="4" w:space="0" w:color="FAD17A" w:themeColor="accent1" w:themeTint="99"/>
      </w:tblBorders>
    </w:tblPr>
    <w:tblStylePr w:type="firstRow">
      <w:rPr>
        <w:b/>
        <w:bCs/>
      </w:rPr>
      <w:tblPr/>
      <w:tcPr>
        <w:tcBorders>
          <w:bottom w:val="single" w:sz="12" w:space="0" w:color="FAD17A" w:themeColor="accent1" w:themeTint="99"/>
        </w:tcBorders>
      </w:tcPr>
    </w:tblStylePr>
    <w:tblStylePr w:type="lastRow">
      <w:rPr>
        <w:b/>
        <w:bCs/>
      </w:rPr>
      <w:tblPr/>
      <w:tcPr>
        <w:tcBorders>
          <w:top w:val="double" w:sz="4" w:space="0" w:color="FAD17A" w:themeColor="accent1" w:themeTint="99"/>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character" w:styleId="UnresolvedMention">
    <w:name w:val="Unresolved Mention"/>
    <w:basedOn w:val="DefaultParagraphFont"/>
    <w:uiPriority w:val="99"/>
    <w:semiHidden/>
    <w:unhideWhenUsed/>
    <w:rsid w:val="00DD5D7B"/>
    <w:rPr>
      <w:color w:val="605E5C"/>
      <w:shd w:val="clear" w:color="auto" w:fill="E1DFDD"/>
    </w:rPr>
  </w:style>
  <w:style w:type="paragraph" w:styleId="Header">
    <w:name w:val="header"/>
    <w:basedOn w:val="Normal"/>
    <w:link w:val="HeaderChar"/>
    <w:uiPriority w:val="99"/>
    <w:unhideWhenUsed/>
    <w:rsid w:val="00DD5D7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D5D7B"/>
    <w:rPr>
      <w:sz w:val="20"/>
      <w:szCs w:val="20"/>
    </w:rPr>
  </w:style>
  <w:style w:type="paragraph" w:styleId="Footer">
    <w:name w:val="footer"/>
    <w:basedOn w:val="Normal"/>
    <w:link w:val="FooterChar"/>
    <w:uiPriority w:val="99"/>
    <w:unhideWhenUsed/>
    <w:rsid w:val="00DD5D7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5D7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o@alexorl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From Service to Product — PM &amp; product-mindset corporate training (SoftServe)</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Service to Product: An Introduction (SoftServe)</dc:title>
  <dc:creator>Oleksii Orlov</dc:creator>
  <cp:lastModifiedBy>Oleksii Orlov</cp:lastModifiedBy>
  <cp:revision>3</cp:revision>
  <cp:lastPrinted>2026-07-08T19:54:00Z</cp:lastPrinted>
  <dcterms:created xsi:type="dcterms:W3CDTF">2026-07-08T19:54:00Z</dcterms:created>
  <dcterms:modified xsi:type="dcterms:W3CDTF">2026-07-08T19:54:00Z</dcterms:modified>
</cp:coreProperties>
</file>