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28"/>
          <w:szCs w:val="28"/>
        </w:rPr>
        <w:t xml:space="preserve">Oleksii Orlov</w:t>
      </w:r>
    </w:p>
    <w:p>
      <w:pPr>
        <w:spacing w:after="140"/>
      </w:pPr>
      <w:r>
        <w:rPr>
          <w:color w:val="595959"/>
          <w:sz w:val="19"/>
          <w:szCs w:val="19"/>
        </w:rPr>
        <w:t xml:space="preserve">orlov.alexej@gmail.com</w:t>
      </w:r>
      <w:r>
        <w:rPr>
          <w:color w:val="7F7F7F"/>
          <w:sz w:val="19"/>
          <w:szCs w:val="19"/>
        </w:rPr>
        <w:t xml:space="preserve">    ·    </w:t>
      </w:r>
      <w:hyperlink w:history="1" r:id="rIdoecc8msmwqevexbdjtpdb">
        <w:r>
          <w:rPr>
            <w:rStyle w:val="Hyperlink"/>
            <w:sz w:val="19"/>
            <w:szCs w:val="19"/>
          </w:rPr>
          <w:t xml:space="preserve">linkedin.com/in/aorlov</w:t>
        </w:r>
      </w:hyperlink>
      <w:r>
        <w:rPr>
          <w:color w:val="7F7F7F"/>
          <w:sz w:val="19"/>
          <w:szCs w:val="19"/>
        </w:rPr>
        <w:t xml:space="preserve">    ·    </w:t>
      </w:r>
      <w:r>
        <w:rPr>
          <w:color w:val="595959"/>
          <w:sz w:val="19"/>
          <w:szCs w:val="19"/>
        </w:rPr>
        <w:t xml:space="preserve">+38 050 705 9150</w:t>
      </w:r>
    </w:p>
    <w:p>
      <w:pPr>
        <w:pBdr>
          <w:bottom w:val="single" w:color="2E74B5" w:sz="6" w:space="1"/>
        </w:pBdr>
        <w:spacing w:after="140"/>
      </w:pPr>
      <w:r>
        <w:rPr>
          <w:sz w:val="21"/>
          <w:szCs w:val="21"/>
        </w:rPr>
        <w:t xml:space="preserve"/>
      </w:r>
    </w:p>
    <w:p>
      <w:pPr>
        <w:spacing w:after="40" w:before="60"/>
      </w:pPr>
      <w:r>
        <w:rPr>
          <w:b/>
          <w:bCs/>
          <w:color w:val="2E74B5"/>
          <w:spacing w:val="28"/>
          <w:sz w:val="17"/>
          <w:szCs w:val="17"/>
        </w:rPr>
        <w:t xml:space="preserve">COMMERCIAL PROPOSAL</w:t>
      </w:r>
    </w:p>
    <w:p>
      <w:pPr>
        <w:pStyle w:val="Title"/>
        <w:spacing w:after="20"/>
      </w:pPr>
      <w:r>
        <w:t xml:space="preserve">From Service to Product</w:t>
      </w:r>
    </w:p>
    <w:p>
      <w:pPr>
        <w:spacing w:after="60"/>
      </w:pPr>
      <w:r>
        <w:rPr>
          <w:b/>
          <w:bCs/>
          <w:color w:val="1F4E79"/>
          <w:sz w:val="24"/>
          <w:szCs w:val="24"/>
        </w:rPr>
        <w:t xml:space="preserve">Product Management &amp; product mindset for technical leaders</w:t>
      </w:r>
    </w:p>
    <w:p>
      <w:pPr>
        <w:spacing w:after="160"/>
      </w:pPr>
      <w:r>
        <w:rPr>
          <w:color w:val="595959"/>
          <w:sz w:val="20"/>
          <w:szCs w:val="20"/>
        </w:rPr>
        <w:t xml:space="preserve">A workshop-driven corporate program · prepared for SoftServe · July 2026</w:t>
      </w:r>
    </w:p>
    <w:p>
      <w:pPr>
        <w:pStyle w:val="Heading1"/>
      </w:pPr>
      <w:r>
        <w:t xml:space="preserve">1. Context</w:t>
      </w:r>
    </w:p>
    <w:p>
      <w:pPr>
        <w:spacing w:after="100" w:line="264"/>
      </w:pPr>
      <w:r>
        <w:rPr>
          <w:sz w:val="21"/>
          <w:szCs w:val="21"/>
        </w:rPr>
        <w:t xml:space="preserve">SoftServe is moving from classic service delivery toward an asset- and product-oriented model. Accelerators, frameworks and reusable assets are expected to live beyond the engagement they were born in — as products, with their own value proposition, lifecycle, roadmap and adoption strategy. This program builds the mindset and the toolkit that shift requires, in the leaders who will carry it.</w:t>
      </w:r>
    </w:p>
    <w:p>
      <w:pPr>
        <w:spacing w:after="100" w:line="264"/>
      </w:pPr>
      <w:r>
        <w:rPr>
          <w:sz w:val="21"/>
          <w:szCs w:val="21"/>
        </w:rPr>
        <w:t xml:space="preserve">In the instructor’s experience, the hard part of this transition is rarely engineering. Strong services organizations already create assets — but they tend to be built for one client, owned by whoever built them, and funded only while a project pays for them. Turning them into products raises questions a services company rarely has to ask: which problem and market does the asset serve beyond its first client? What makes it repeatable rather than re-buildable? Who owns its roadmap and adoption once the project ends? And how do investment and incentives support work that isn’t billable? The program is built around these questions — and works them on your own portfolio, not textbook cases.</w:t>
      </w:r>
    </w:p>
    <w:p>
      <w:pPr>
        <w:pStyle w:val="Heading1"/>
      </w:pPr>
      <w:r>
        <w:t xml:space="preserve">2. Goal of the program</w:t>
      </w:r>
    </w:p>
    <w:p>
      <w:pPr>
        <w:spacing w:after="50"/>
      </w:pPr>
      <w:r>
        <w:rPr>
          <w:sz w:val="21"/>
          <w:szCs w:val="21"/>
        </w:rPr>
        <w:t xml:space="preserve">The program helps technical and delivery leaders: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move from engineering / service thinking to product thinking;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understand and manage the full lifecycle of products and reusable assets;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define value propositions, run customer discovery, and drive adoption;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shape repeatable offerings instead of one-off project delivery;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bring AI / GenAI into everyday product-management work and service evolution;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grow ownership and an outcome-based way of working.</w:t>
      </w:r>
    </w:p>
    <w:p>
      <w:pPr>
        <w:spacing w:before="60"/>
      </w:pPr>
      <w:r>
        <w:rPr>
          <w:sz w:val="21"/>
          <w:szCs w:val="21"/>
        </w:rPr>
        <w:t xml:space="preserve">The intended outcome is not frameworks memorized, but a changed default: leaders who reason about services, assets and initiatives as products — with customers, lifecycles and business models.</w:t>
      </w:r>
    </w:p>
    <w:p>
      <w:pPr>
        <w:pStyle w:val="Heading1"/>
      </w:pPr>
      <w:r>
        <w:t xml:space="preserve">3. Participants &amp; groups</w:t>
      </w:r>
    </w:p>
    <w:p>
      <w:pPr>
        <w:spacing w:after="100" w:line="264"/>
      </w:pPr>
      <w:r>
        <w:rPr>
          <w:sz w:val="21"/>
          <w:szCs w:val="21"/>
        </w:rPr>
        <w:t xml:space="preserve">About 15 participants across Ukraine, Poland, Bulgaria and the US: service leaders, capability managers, architects, technical / product owners, delivery and engineering leaders.</w:t>
      </w:r>
    </w:p>
    <w:p>
      <w:pPr>
        <w:spacing w:after="100" w:line="264"/>
      </w:pPr>
      <w:r>
        <w:rPr>
          <w:sz w:val="21"/>
          <w:szCs w:val="21"/>
        </w:rPr>
        <w:t xml:space="preserve">For group work, participants form 3–4 groups; in Module 1 each group selects one real asset or service from the portfolio and carries it through the entire program — by the final module it has run the full productization cycle on something real to it.</w:t>
      </w:r>
    </w:p>
    <w:p>
      <w:pPr>
        <w:pStyle w:val="Heading1"/>
      </w:pPr>
      <w:r>
        <w:t xml:space="preserve">4. How sessions work</w:t>
      </w:r>
    </w:p>
    <w:p>
      <w:pPr>
        <w:spacing w:after="50"/>
      </w:pPr>
      <w:r>
        <w:rPr>
          <w:sz w:val="21"/>
          <w:szCs w:val="21"/>
        </w:rPr>
        <w:t xml:space="preserve">All sessions are 2 hours, live online, in three complementary formats: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Interactive seminar — </w:t>
      </w:r>
      <w:r>
        <w:rPr>
          <w:sz w:val="21"/>
          <w:szCs w:val="21"/>
        </w:rPr>
        <w:t xml:space="preserve">theory and frameworks, the instructor’s worked examples (from other industries and from services productization), and a discussion applying the topic to the participants’ own products and services — every framework is pointed at a real case in the room.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Workshop — </w:t>
      </w:r>
      <w:r>
        <w:rPr>
          <w:sz w:val="21"/>
          <w:szCs w:val="21"/>
        </w:rPr>
        <w:t xml:space="preserve">groups work a hands-on exercise on their own asset and leave with a real artifact (a portfolio map, a Product Map, a packaging model, a roadmap…), presented and challenged by the instructor and the other groups.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Home assignment (in groups) — </w:t>
      </w:r>
      <w:r>
        <w:rPr>
          <w:sz w:val="21"/>
          <w:szCs w:val="21"/>
        </w:rPr>
        <w:t xml:space="preserve">between sessions, each group applies the method to its asset (2–3 hours per assignment; assignments are cumulative). Each can run as classic homework with the instructor’s written feedback, or as a facilitated live working session of ~1.5–2 hours — your choice, per module.</w:t>
      </w:r>
    </w:p>
    <w:p>
      <w:pPr>
        <w:pStyle w:val="Heading1"/>
      </w:pPr>
      <w:r>
        <w:t xml:space="preserve">5. The program at a glance</w:t>
      </w:r>
    </w:p>
    <w:p>
      <w:pPr>
        <w:spacing w:after="80"/>
      </w:pPr>
      <w:r>
        <w:rPr>
          <w:sz w:val="21"/>
          <w:szCs w:val="21"/>
        </w:rPr>
        <w:t xml:space="preserve">7 modules, 22 sessions: 13 interactive seminars / demos (S/D) + 9 workshops (W). The detailed module-by-module program is in Addendum A.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4200"/>
        <w:gridCol w:w="800"/>
        <w:gridCol w:w="1560"/>
        <w:gridCol w:w="2800"/>
      </w:tblGrid>
      <w:tr>
        <w:trPr>
          <w:tblHeader/>
        </w:trPr>
        <w:tc>
          <w:tcPr>
            <w:tcW w:type="dxa" w:w="42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8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Sessions</w:t>
            </w:r>
          </w:p>
        </w:tc>
        <w:tc>
          <w:tcPr>
            <w:tcW w:type="dxa" w:w="156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28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Group home assignment (on your asset)</w:t>
            </w:r>
          </w:p>
        </w:tc>
      </w:tr>
      <w:tr>
        <w:tc>
          <w:tcPr>
            <w:tcW w:type="dxa" w:w="42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1. Products in an enterprise services company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 S + 1 W</w:t>
            </w:r>
          </w:p>
        </w:tc>
        <w:tc>
          <w:tcPr>
            <w:tcW w:type="dxa" w:w="2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Current-state one-pager + productization level</w:t>
            </w:r>
          </w:p>
        </w:tc>
      </w:tr>
      <w:tr>
        <w:tc>
          <w:tcPr>
            <w:tcW w:type="dxa" w:w="42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Product mindset</w:t>
            </w:r>
          </w:p>
        </w:tc>
        <w:tc>
          <w:tcPr>
            <w:tcW w:type="dxa" w:w="8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 S + 1 W</w:t>
            </w:r>
          </w:p>
        </w:tc>
        <w:tc>
          <w:tcPr>
            <w:tcW w:type="dxa" w:w="28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insight + hypotheses</w:t>
            </w:r>
          </w:p>
        </w:tc>
      </w:tr>
      <w:tr>
        <w:tc>
          <w:tcPr>
            <w:tcW w:type="dxa" w:w="42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Product lifecycle: Define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 S + 3 W</w:t>
            </w:r>
          </w:p>
        </w:tc>
        <w:tc>
          <w:tcPr>
            <w:tcW w:type="dxa" w:w="2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 Map + 2 discovery interviews + validated hypothesis</w:t>
            </w:r>
          </w:p>
        </w:tc>
      </w:tr>
      <w:tr>
        <w:tc>
          <w:tcPr>
            <w:tcW w:type="dxa" w:w="42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Product lifecycle: Design &amp; build</w:t>
            </w:r>
          </w:p>
        </w:tc>
        <w:tc>
          <w:tcPr>
            <w:tcW w:type="dxa" w:w="8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 S + 1 W</w:t>
            </w:r>
          </w:p>
        </w:tc>
        <w:tc>
          <w:tcPr>
            <w:tcW w:type="dxa" w:w="28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Platformization split + packaging / pricing</w:t>
            </w:r>
          </w:p>
        </w:tc>
      </w:tr>
      <w:tr>
        <w:tc>
          <w:tcPr>
            <w:tcW w:type="dxa" w:w="42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5. Product lifecycle: Measure &amp; manage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 S + 1 W</w:t>
            </w:r>
          </w:p>
        </w:tc>
        <w:tc>
          <w:tcPr>
            <w:tcW w:type="dxa" w:w="2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Adoption metric system + Now / Next / Later roadmap</w:t>
            </w:r>
          </w:p>
        </w:tc>
      </w:tr>
      <w:tr>
        <w:tc>
          <w:tcPr>
            <w:tcW w:type="dxa" w:w="42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6. AI-powered product management</w:t>
            </w:r>
          </w:p>
        </w:tc>
        <w:tc>
          <w:tcPr>
            <w:tcW w:type="dxa" w:w="8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 D + 1 W</w:t>
            </w:r>
          </w:p>
        </w:tc>
        <w:tc>
          <w:tcPr>
            <w:tcW w:type="dxa" w:w="28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Agentic PM setup sketch</w:t>
            </w:r>
          </w:p>
        </w:tc>
      </w:tr>
      <w:tr>
        <w:tc>
          <w:tcPr>
            <w:tcW w:type="dxa" w:w="42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7. Next steps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 S + 1 W</w:t>
            </w:r>
          </w:p>
        </w:tc>
        <w:tc>
          <w:tcPr>
            <w:tcW w:type="dxa" w:w="2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Capstone recap (live)</w:t>
            </w:r>
          </w:p>
        </w:tc>
      </w:tr>
      <w:tr>
        <w:tc>
          <w:tcPr>
            <w:tcW w:type="dxa" w:w="42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13 + 9</w:t>
            </w:r>
          </w:p>
        </w:tc>
        <w:tc>
          <w:tcPr>
            <w:tcW w:type="dxa" w:w="2800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sz w:val="20"/>
                <w:szCs w:val="20"/>
              </w:rPr>
              <w:t xml:space="preserve">one asset — full lifecycle</w:t>
            </w:r>
          </w:p>
        </w:tc>
      </w:tr>
    </w:tbl>
    <w:p>
      <w:pPr>
        <w:pStyle w:val="Heading1"/>
      </w:pPr>
      <w:r>
        <w:t xml:space="preserve">6. Duration &amp; workload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Steady (recommended) — </w:t>
      </w:r>
      <w:r>
        <w:rPr>
          <w:sz w:val="21"/>
          <w:szCs w:val="21"/>
        </w:rPr>
        <w:t xml:space="preserve">1 session per week, ~22 weeks. Easiest to protect in senior calendars across locations; leaves room for real discovery between sessions.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Intensive — </w:t>
      </w:r>
      <w:r>
        <w:rPr>
          <w:sz w:val="21"/>
          <w:szCs w:val="21"/>
        </w:rPr>
        <w:t xml:space="preserve">2 sessions per week, ~11 weeks. Faster momentum, heavier weekly load.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Blended — </w:t>
      </w:r>
      <w:r>
        <w:rPr>
          <w:sz w:val="21"/>
          <w:szCs w:val="21"/>
        </w:rPr>
        <w:t xml:space="preserve">modules 1–2 at two sessions per week to build shared language, then weekly for the lifecycle modules, where discovery and validation need calendar time.</w:t>
      </w:r>
    </w:p>
    <w:p>
      <w:pPr>
        <w:spacing w:before="60"/>
      </w:pPr>
      <w:r>
        <w:rPr>
          <w:sz w:val="21"/>
          <w:szCs w:val="21"/>
        </w:rPr>
        <w:t xml:space="preserve">Total participant load is roughly 60–75 hours: 44 hours of live sessions plus home assignments and light workshop preparation.</w:t>
      </w:r>
    </w:p>
    <w:p>
      <w:pPr>
        <w:pStyle w:val="Heading1"/>
      </w:pPr>
      <w:r>
        <w:t xml:space="preserve">7. Customization &amp; support around the program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Adapted, not off-the-shelf. </w:t>
      </w:r>
      <w:r>
        <w:rPr>
          <w:sz w:val="21"/>
          <w:szCs w:val="21"/>
        </w:rPr>
        <w:t xml:space="preserve">The participants’ real assets and services are the working material of every workshop and home assignment; seminar examples are tuned to services productization and the domains the teams work in.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Pre-work. </w:t>
      </w:r>
      <w:r>
        <w:rPr>
          <w:sz w:val="21"/>
          <w:szCs w:val="21"/>
        </w:rPr>
        <w:t xml:space="preserve">A discovery call and an information request (see Next steps) feed the program design; a short intake survey captures roles and expectations, so candidate working assets are shortlisted before Module 1.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1"/>
          <w:szCs w:val="21"/>
        </w:rPr>
        <w:t xml:space="preserve">Post-training support. </w:t>
      </w:r>
      <w:r>
        <w:rPr>
          <w:sz w:val="21"/>
          <w:szCs w:val="21"/>
        </w:rPr>
        <w:t xml:space="preserve">Unlimited access to all materials and session recordings; a follow-up session ~4–6 weeks after the program on the Module-7 roadmap; optional office hours for groups taking their asset forward.</w:t>
      </w:r>
    </w:p>
    <w:p>
      <w:pPr>
        <w:pStyle w:val="Heading1"/>
      </w:pPr>
      <w:r>
        <w:t xml:space="preserve">8. Instructor</w:t>
      </w:r>
    </w:p>
    <w:p>
      <w:pPr>
        <w:spacing w:after="50"/>
      </w:pPr>
      <w:r>
        <w:rPr>
          <w:sz w:val="21"/>
          <w:szCs w:val="21"/>
        </w:rPr>
        <w:t xml:space="preserve">Oleksii Orlov — product leader in enterprise B2B SaaS, with depth in product expansion, productization, and agentic AI.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Chief Product Officer at GigaCloud (cloud infrastructure) — current; formerly VP of Product at Creatio and Chief Product Officer, Innovations at Jooble.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Long-standing product-management lecturer and corporate-program author for practicing product teams and technical leaders.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Relevant precedent: designed and delivered a 22-session corporate PM program for the product managers of a large B2B bank — the same cumulative, real-product group format proposed here. The services-productization frame draws on established practice, including Eisha Armstrong’s Productize and Commercialize.</w:t>
      </w:r>
    </w:p>
    <w:p>
      <w:pPr>
        <w:pStyle w:val="Heading1"/>
      </w:pPr>
      <w:r>
        <w:t xml:space="preserve">9. What’s included &amp; investment</w:t>
      </w:r>
    </w:p>
    <w:p>
      <w:pPr>
        <w:spacing w:after="50"/>
      </w:pPr>
      <w:r>
        <w:rPr>
          <w:sz w:val="21"/>
          <w:szCs w:val="21"/>
        </w:rPr>
        <w:t xml:space="preserve">The corporate training includes: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development of the adapted program and all course materials (session decks + working templates: Product Map, hypotheses list, test / learning cards, platformization table, packaging model, roadmap);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delivery of all interactive seminars, demos, and workshops;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unlimited access to all course materials together with video recordings of every session;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review of group home assignments OR their facilitation as live working sessions (your choice, per module);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sz w:val="21"/>
          <w:szCs w:val="21"/>
        </w:rPr>
        <w:t xml:space="preserve">a direct chat channel with the instructor throughout the program.</w:t>
      </w:r>
    </w:p>
    <w:p>
      <w:pPr>
        <w:spacing w:after="40" w:before="80"/>
      </w:pPr>
      <w:r>
        <w:rPr>
          <w:b/>
          <w:bCs/>
          <w:color w:val="1F4E79"/>
          <w:sz w:val="21"/>
          <w:szCs w:val="21"/>
        </w:rPr>
        <w:t xml:space="preserve">Total cost of the corporate training: </w:t>
      </w:r>
      <w:r>
        <w:rPr>
          <w:b/>
          <w:bCs/>
          <w:color w:val="C00000"/>
          <w:sz w:val="21"/>
          <w:szCs w:val="21"/>
        </w:rPr>
        <w:t xml:space="preserve">[€ — to be confirmed]</w:t>
      </w:r>
    </w:p>
    <w:p>
      <w:pPr>
        <w:spacing w:after="100" w:line="264"/>
      </w:pPr>
      <w:r>
        <w:rPr>
          <w:i/>
          <w:iCs/>
          <w:color w:val="7F7F7F"/>
          <w:sz w:val="19"/>
          <w:szCs w:val="19"/>
        </w:rPr>
        <w:t xml:space="preserve">For reference: an equivalent 22-session corporate program delivered by the instructor for a larger cohort of practicing product managers was priced at €14,900; this one is smaller in headcount but more senior and more customized — a precise figure follows once scope and pacing are agreed.</w:t>
      </w:r>
    </w:p>
    <w:p>
      <w:pPr>
        <w:pStyle w:val="Heading1"/>
      </w:pPr>
      <w:r>
        <w:t xml:space="preserve">10. Next steps</w:t>
      </w:r>
    </w:p>
    <w:p>
      <w:pPr>
        <w:spacing w:after="50"/>
      </w:pPr>
      <w:r>
        <w:rPr>
          <w:sz w:val="21"/>
          <w:szCs w:val="21"/>
        </w:rPr>
        <w:t xml:space="preserve">To prepare the program — especially its workshops — two inputs are needed before the start:</w:t>
      </w:r>
    </w:p>
    <w:p>
      <w:pPr>
        <w:pStyle w:val="ListParagraph"/>
        <w:numPr>
          <w:ilvl w:val="0"/>
          <w:numId w:val="3"/>
        </w:numPr>
        <w:spacing w:after="50" w:line="260"/>
      </w:pPr>
      <w:r>
        <w:rPr>
          <w:b/>
          <w:bCs/>
          <w:sz w:val="21"/>
          <w:szCs w:val="21"/>
        </w:rPr>
        <w:t xml:space="preserve">Discovery call. </w:t>
      </w:r>
      <w:r>
        <w:rPr>
          <w:sz w:val="21"/>
          <w:szCs w:val="21"/>
        </w:rPr>
        <w:t xml:space="preserve">A working session with the program sponsor(s) to explore needs, current situation and expectations — and align group count, pacing and calendar.</w:t>
      </w:r>
    </w:p>
    <w:p>
      <w:pPr>
        <w:pStyle w:val="ListParagraph"/>
        <w:numPr>
          <w:ilvl w:val="0"/>
          <w:numId w:val="3"/>
        </w:numPr>
        <w:spacing w:after="50" w:line="260"/>
      </w:pPr>
      <w:r>
        <w:rPr>
          <w:b/>
          <w:bCs/>
          <w:sz w:val="21"/>
          <w:szCs w:val="21"/>
        </w:rPr>
        <w:t xml:space="preserve">Information request. </w:t>
      </w:r>
      <w:r>
        <w:rPr>
          <w:sz w:val="21"/>
          <w:szCs w:val="21"/>
        </w:rPr>
        <w:t xml:space="preserve">A short brief on the products, services, accelerators and initiatives the participants work on right now — the input for workshops, home assignments and each group’s working asset.</w:t>
      </w:r>
    </w:p>
    <w:p>
      <w:pPr>
        <w:spacing w:after="20" w:before="140"/>
      </w:pPr>
      <w:r>
        <w:rPr>
          <w:color w:val="595959"/>
          <w:sz w:val="21"/>
          <w:szCs w:val="21"/>
        </w:rPr>
        <w:t xml:space="preserve">With best regards,</w:t>
      </w:r>
    </w:p>
    <w:p>
      <w:pPr>
        <w:spacing w:after="20"/>
      </w:pPr>
      <w:r>
        <w:rPr>
          <w:b/>
          <w:bCs/>
          <w:sz w:val="21"/>
          <w:szCs w:val="21"/>
        </w:rPr>
        <w:t xml:space="preserve">Oleksii Orlov</w:t>
      </w:r>
    </w:p>
    <w:p>
      <w:pPr>
        <w:spacing w:after="100" w:line="264"/>
      </w:pPr>
      <w:r>
        <w:rPr>
          <w:color w:val="595959"/>
          <w:sz w:val="21"/>
          <w:szCs w:val="21"/>
        </w:rPr>
        <w:t xml:space="preserve">orlov.alexej@gmail.com  ·  </w:t>
      </w:r>
      <w:hyperlink w:history="1" r:id="rIddwha2yxkkc-icdm3dvhcq">
        <w:r>
          <w:rPr>
            <w:rStyle w:val="Hyperlink"/>
          </w:rPr>
          <w:t xml:space="preserve">linkedin.com/in/aorlov</w:t>
        </w:r>
      </w:hyperlink>
    </w:p>
    <w:p>
      <w:pPr>
        <w:sectPr>
          <w:footerReference w:type="default" r:id="rId7"/>
          <w:pgSz w:w="12240" w:h="15840" w:orient="portrait"/>
          <w:pgMar w:top="1150" w:right="1440" w:bottom="115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Addendum A — Detailed program</w:t>
      </w:r>
    </w:p>
    <w:p>
      <w:pPr>
        <w:spacing w:after="100"/>
      </w:pPr>
      <w:r>
        <w:rPr>
          <w:i/>
          <w:iCs/>
          <w:color w:val="595959"/>
          <w:sz w:val="19"/>
          <w:szCs w:val="19"/>
        </w:rPr>
        <w:t xml:space="preserve">All sessions are 2 hours. S = interactive seminar · W = workshop · D = demo. Home assignments are done in groups of 3–4, each on the group’s chosen asset (~2–3 hours each).</w:t>
      </w:r>
    </w:p>
    <w:tbl>
      <w:tblPr>
        <w:tblW w:type="dxa" w:w="1368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700"/>
        <w:gridCol w:w="4300"/>
        <w:gridCol w:w="2900"/>
        <w:gridCol w:w="3060"/>
        <w:gridCol w:w="1720"/>
      </w:tblGrid>
      <w:tr>
        <w:trPr>
          <w:tblHeader/>
        </w:trPr>
        <w:tc>
          <w:tcPr>
            <w:tcW w:type="dxa" w:w="17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43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Topics &amp; key frameworks</w:t>
            </w:r>
          </w:p>
        </w:tc>
        <w:tc>
          <w:tcPr>
            <w:tcW w:type="dxa" w:w="290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Sessions</w:t>
            </w:r>
          </w:p>
        </w:tc>
        <w:tc>
          <w:tcPr>
            <w:tcW w:type="dxa" w:w="306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Workshop</w:t>
            </w:r>
          </w:p>
        </w:tc>
        <w:tc>
          <w:tcPr>
            <w:tcW w:type="dxa" w:w="1720"/>
            <w:shd w:fill="1F4E7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Home assignment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1. Products in an enterprise services company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3 sessions · 2 S + 1 W</w:t>
            </w:r>
          </w:p>
        </w:tc>
        <w:tc>
          <w:tcPr>
            <w:tcW w:type="dxa" w:w="43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The productization ladder: packaged services → technology-enabled services (accelerators) → productized services → products → products-as-a-service; the economics and commitment of each level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Product strategy in a services company: where to play; the product-vs-feature decision (standalone offering vs. add-on to existing delivery)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Productization case studies from B2B services — what worked, what stalled, and why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Productization artifacts &amp; reusable assets: what makes an asset genuinely reusable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Organizational alignment: people, investment allocation, incentives</w:t>
            </w:r>
          </w:p>
        </w:tc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S1.1 — </w:t>
            </w:r>
            <w:r>
              <w:rPr>
                <w:sz w:val="19"/>
                <w:szCs w:val="19"/>
              </w:rPr>
              <w:t xml:space="preserve">Products &amp; productization in a services company: the ladder, the economics, case studies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S1.2 — </w:t>
            </w:r>
            <w:r>
              <w:rPr>
                <w:sz w:val="19"/>
                <w:szCs w:val="19"/>
              </w:rPr>
              <w:t xml:space="preserve">Product strategy &amp; organizational alignment</w:t>
            </w:r>
          </w:p>
          <w:p>
            <w:pPr>
              <w:spacing w:after="0" w:before="0" w:line="248"/>
            </w:pPr>
            <w:r>
              <w:rPr>
                <w:b/>
                <w:bCs/>
                <w:sz w:val="19"/>
                <w:szCs w:val="19"/>
              </w:rPr>
              <w:t xml:space="preserve">W1.3 — </w:t>
            </w:r>
            <w:r>
              <w:rPr>
                <w:sz w:val="19"/>
                <w:szCs w:val="19"/>
              </w:rPr>
              <w:t xml:space="preserve">Portfolio inspection &amp; productization mapping</w:t>
            </w:r>
          </w:p>
        </w:tc>
        <w:tc>
          <w:tcPr>
            <w:tcW w:type="dxa" w:w="306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Portfolio inspection &amp; productization mapping</w:t>
            </w:r>
          </w:p>
          <w:p>
            <w:pPr>
              <w:spacing w:after="4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Groups inventory the current services, accelerators and reusable assets; map them to company / unit goals; place each on the productization ladder and set a realistic target level. Each group picks the one asset it will carry through the program.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Output: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portfolio map + a shortlist of assets worth productizing + each group’s working asset.</w:t>
            </w:r>
          </w:p>
        </w:tc>
        <w:tc>
          <w:tcPr>
            <w:tcW w:type="dxa" w:w="172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Current-state one-pager for the chosen asset: what it is, how it is delivered today, its position on the productization ladder, and the target level.</w:t>
            </w:r>
          </w:p>
        </w:tc>
      </w:tr>
      <w:tr>
        <w:tc>
          <w:tcPr>
            <w:tcW w:type="dxa" w:w="17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2. Product mindset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3 sessions · 2 S + 1 W</w:t>
            </w:r>
          </w:p>
        </w:tc>
        <w:tc>
          <w:tcPr>
            <w:tcW w:type="dxa" w:w="43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Human-centered design: start with the customer; problems and context before solutions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Lean building: validate before building; product-market fit before scale; MVP thinking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Thinking in hypotheses: desirability / viability / feasibility / usability risks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Finding true problems: “5 Whys”, jobs-to-be-done as a problem lens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Aligning business goals, product goals and initiatives (introduction to impact mapping)</w:t>
            </w:r>
          </w:p>
        </w:tc>
        <w:tc>
          <w:tcPr>
            <w:tcW w:type="dxa" w:w="29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S2.1 — </w:t>
            </w:r>
            <w:r>
              <w:rPr>
                <w:sz w:val="19"/>
                <w:szCs w:val="19"/>
              </w:rPr>
              <w:t xml:space="preserve">The product mindset: customer-first, lean, thinking in hypotheses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S2.2 — </w:t>
            </w:r>
            <w:r>
              <w:rPr>
                <w:sz w:val="19"/>
                <w:szCs w:val="19"/>
              </w:rPr>
              <w:t xml:space="preserve">True problems &amp; goal alignment</w:t>
            </w:r>
          </w:p>
          <w:p>
            <w:pPr>
              <w:spacing w:after="0" w:before="0" w:line="248"/>
            </w:pPr>
            <w:r>
              <w:rPr>
                <w:b/>
                <w:bCs/>
                <w:sz w:val="19"/>
                <w:szCs w:val="19"/>
              </w:rPr>
              <w:t xml:space="preserve">W2.3 — </w:t>
            </w:r>
            <w:r>
              <w:rPr>
                <w:sz w:val="19"/>
                <w:szCs w:val="19"/>
              </w:rPr>
              <w:t xml:space="preserve">From offer to hypotheses</w:t>
            </w:r>
          </w:p>
        </w:tc>
        <w:tc>
          <w:tcPr>
            <w:tcW w:type="dxa" w:w="306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From offer to hypotheses</w:t>
            </w:r>
          </w:p>
          <w:p>
            <w:pPr>
              <w:spacing w:after="4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Groups take an existing idea for their asset (a brief, a PRD, an accelerator concept), break it into hypotheses across the four risk lenses, and scope the smallest lean version that would test the riskiest assumptions.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Output: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hypotheses list (risk, confidence, importance) + a lean scope.</w:t>
            </w:r>
          </w:p>
        </w:tc>
        <w:tc>
          <w:tcPr>
            <w:tcW w:type="dxa" w:w="172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Core-insight statement for the asset (the unique insight that justifies building it) + top assumptions as hypotheses with confidence levels.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3. Product lifecycle: Define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7 sessions · 4 S + 3 W</w:t>
            </w:r>
          </w:p>
        </w:tc>
        <w:tc>
          <w:tcPr>
            <w:tcW w:type="dxa" w:w="43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the market: sizing (TAM / SAM / SOM), ideal customer profile, segmentation (core / situational / non-users; early adopters)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the problem: what the customer is trying to achieve, why, and why they can’t today; problem frequency &amp; criticality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the solution: impact mapping (business goal → segments → behavior change → capabilities)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alternatives, differentiation &amp; positioning: direct / indirect / adjacent competition; types of competitive advantage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Define business goals &amp; outcomes: business model, unit economics, business impact (acquisition / retention / monetization / profitability / strategic fit)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Discover &amp; validate: customer-discovery methods (in-depth interviews, qualitative &amp; quantitative methods, observation) and data analysis (product analytics, market research, segmentation, cohorts)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Prioritizing product ideas: the qualitative method, RICE, the impact map</w:t>
            </w:r>
          </w:p>
        </w:tc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S3.1 — </w:t>
            </w:r>
            <w:r>
              <w:rPr>
                <w:sz w:val="19"/>
                <w:szCs w:val="19"/>
              </w:rPr>
              <w:t xml:space="preserve">Define the market: sizing, ICP, segmentation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S3.2 — </w:t>
            </w:r>
            <w:r>
              <w:rPr>
                <w:sz w:val="19"/>
                <w:szCs w:val="19"/>
              </w:rPr>
              <w:t xml:space="preserve">Define the problem &amp; solution: JTBD, criticality, impact mapping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S3.3 — </w:t>
            </w:r>
            <w:r>
              <w:rPr>
                <w:sz w:val="19"/>
                <w:szCs w:val="19"/>
              </w:rPr>
              <w:t xml:space="preserve">Alternatives, differentiation &amp; positioning; business model &amp; business impact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S3.4 — </w:t>
            </w:r>
            <w:r>
              <w:rPr>
                <w:sz w:val="19"/>
                <w:szCs w:val="19"/>
              </w:rPr>
              <w:t xml:space="preserve">Customer discovery &amp; validation methods; prioritization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W3.5 — </w:t>
            </w:r>
            <w:r>
              <w:rPr>
                <w:sz w:val="19"/>
                <w:szCs w:val="19"/>
              </w:rPr>
              <w:t xml:space="preserve">Product Map, part 1 — customer &amp; problem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W3.6 — </w:t>
            </w:r>
            <w:r>
              <w:rPr>
                <w:sz w:val="19"/>
                <w:szCs w:val="19"/>
              </w:rPr>
              <w:t xml:space="preserve">Product Map, part 2 — solution, alternatives &amp; business value</w:t>
            </w:r>
          </w:p>
          <w:p>
            <w:pPr>
              <w:spacing w:after="0" w:before="0" w:line="248"/>
            </w:pPr>
            <w:r>
              <w:rPr>
                <w:b/>
                <w:bCs/>
                <w:sz w:val="19"/>
                <w:szCs w:val="19"/>
              </w:rPr>
              <w:t xml:space="preserve">W3.7 — </w:t>
            </w:r>
            <w:r>
              <w:rPr>
                <w:sz w:val="19"/>
                <w:szCs w:val="19"/>
              </w:rPr>
              <w:t xml:space="preserve">Discovery &amp; validation planning</w:t>
            </w:r>
          </w:p>
        </w:tc>
        <w:tc>
          <w:tcPr>
            <w:tcW w:type="dxa" w:w="306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Product Map (2 parts) + discovery &amp; validation planning</w:t>
            </w:r>
          </w:p>
          <w:p>
            <w:pPr>
              <w:spacing w:after="4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Across three workshops, each group builds the full Product Map for its asset — audience, problem and customer value; then solution (impact map), alternatives / positioning, and business value — presenting and taking challenge at each step. The third workshop turns the riskiest assumptions into a prioritized validation plan: hypotheses matched to methods, with success criteria.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Output: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a complete Product Map per asset + a method-matched validation plan.</w:t>
            </w:r>
          </w:p>
        </w:tc>
        <w:tc>
          <w:tcPr>
            <w:tcW w:type="dxa" w:w="172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Cumulative: (1) Product Map — audience + problem + customer value; (2) two customer-discovery interviews with documented insights; (3) Product Map — solution + alternatives + business value, plus three test-card hypotheses (analytics / market / user research), one validated and written up as a learning card.</w:t>
            </w:r>
          </w:p>
        </w:tc>
      </w:tr>
      <w:tr>
        <w:tc>
          <w:tcPr>
            <w:tcW w:type="dxa" w:w="17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4. Product lifecycle: Design &amp; build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2 sessions · 1 S + 1 W</w:t>
            </w:r>
          </w:p>
        </w:tc>
        <w:tc>
          <w:tcPr>
            <w:tcW w:type="dxa" w:w="43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Product features: co-design / co-development with customers; prioritizing features &amp; scope (MVP approach, feature hamburger, RICE)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The platformization spectrum: custom ↔ fixed ↔ dev-configurable ↔ user-configurable — the central productization decision for a services organization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Product business model: packaging &amp; pricing (tiering, value metric, value-based pricing; monetization tests: Van Westendorp, max-difference); validating the model, packaging and pricing</w:t>
            </w:r>
          </w:p>
        </w:tc>
        <w:tc>
          <w:tcPr>
            <w:tcW w:type="dxa" w:w="29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S4.1 — </w:t>
            </w:r>
            <w:r>
              <w:rPr>
                <w:sz w:val="19"/>
                <w:szCs w:val="19"/>
              </w:rPr>
              <w:t xml:space="preserve">Design &amp; build: co-design, feature prioritization &amp; scope, platformization, packaging &amp; pricing</w:t>
            </w:r>
          </w:p>
          <w:p>
            <w:pPr>
              <w:spacing w:after="0" w:before="0" w:line="248"/>
            </w:pPr>
            <w:r>
              <w:rPr>
                <w:b/>
                <w:bCs/>
                <w:sz w:val="19"/>
                <w:szCs w:val="19"/>
              </w:rPr>
              <w:t xml:space="preserve">W4.2 — </w:t>
            </w:r>
            <w:r>
              <w:rPr>
                <w:sz w:val="19"/>
                <w:szCs w:val="19"/>
              </w:rPr>
              <w:t xml:space="preserve">Platformization &amp; packaging clinic</w:t>
            </w:r>
          </w:p>
        </w:tc>
        <w:tc>
          <w:tcPr>
            <w:tcW w:type="dxa" w:w="306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Platformization &amp; packaging clinic</w:t>
            </w:r>
          </w:p>
          <w:p>
            <w:pPr>
              <w:spacing w:after="4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For their asset, groups split capabilities into the standardized reusable core vs. the bespoke customization layer along the platformization spectrum, then design a first packaging &amp; pricing model (tiers, value metric, price anchor).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Output: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a “base pack + customization layer” definition + packaging / pricing v1.</w:t>
            </w:r>
          </w:p>
        </w:tc>
        <w:tc>
          <w:tcPr>
            <w:tcW w:type="dxa" w:w="172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Platformization decision table (custom / fixed / configurable per key capability) + a one-page packaging &amp; pricing proposal.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5. Product lifecycle: Measure &amp; manage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3 sessions · 2 S + 1 W</w:t>
            </w:r>
          </w:p>
        </w:tc>
        <w:tc>
          <w:tcPr>
            <w:tcW w:type="dxa" w:w="43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The product feedback loop; measuring activation, retention &amp; engagement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Processing qualitative customer feedback (content-analysis matrix; AI-assisted classification)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The pathway to enterprise adoption: hand-holding, feedback sessions, data analysis, evals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Metric systems: value / outcome metrics (satisfaction, time-on-task, accuracy, conversion, activity); direct vs. proxy measures; cohorts vs. segments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Planning: prioritization frameworks; roadmapping (Now / Next / Later); stakeholder alignment</w:t>
            </w:r>
          </w:p>
        </w:tc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S5.1 — </w:t>
            </w:r>
            <w:r>
              <w:rPr>
                <w:sz w:val="19"/>
                <w:szCs w:val="19"/>
              </w:rPr>
              <w:t xml:space="preserve">Measuring value &amp; adoption: metric system, activation, retention / engagement, adoption pathway, qualitative feedback</w:t>
            </w:r>
          </w:p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S5.2 — </w:t>
            </w:r>
            <w:r>
              <w:rPr>
                <w:sz w:val="19"/>
                <w:szCs w:val="19"/>
              </w:rPr>
              <w:t xml:space="preserve">Managing: prioritization, roadmapping, stakeholder alignment</w:t>
            </w:r>
          </w:p>
          <w:p>
            <w:pPr>
              <w:spacing w:after="0" w:before="0" w:line="248"/>
            </w:pPr>
            <w:r>
              <w:rPr>
                <w:b/>
                <w:bCs/>
                <w:sz w:val="19"/>
                <w:szCs w:val="19"/>
              </w:rPr>
              <w:t xml:space="preserve">W5.3 — </w:t>
            </w:r>
            <w:r>
              <w:rPr>
                <w:sz w:val="19"/>
                <w:szCs w:val="19"/>
              </w:rPr>
              <w:t xml:space="preserve">Adoption &amp; roadmap workshop</w:t>
            </w:r>
          </w:p>
        </w:tc>
        <w:tc>
          <w:tcPr>
            <w:tcW w:type="dxa" w:w="306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Adoption &amp; roadmap workshop</w:t>
            </w:r>
          </w:p>
          <w:p>
            <w:pPr>
              <w:spacing w:after="4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Groups define the adoption metric and a minimal metric system for their asset, design its enterprise-adoption pathway, and build a Now / Next / Later roadmap with a stakeholder-alignment map.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Output: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an adoption plan + roadmap + stakeholder map per asset.</w:t>
            </w:r>
          </w:p>
        </w:tc>
        <w:tc>
          <w:tcPr>
            <w:tcW w:type="dxa" w:w="172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North-star / adoption metric + supporting metric system; a Now / Next / Later roadmap for the asset.</w:t>
            </w:r>
          </w:p>
        </w:tc>
      </w:tr>
      <w:tr>
        <w:tc>
          <w:tcPr>
            <w:tcW w:type="dxa" w:w="17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6. AI-powered product management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2 sessions · 1 D + 1 W</w:t>
            </w:r>
          </w:p>
        </w:tc>
        <w:tc>
          <w:tcPr>
            <w:tcW w:type="dxa" w:w="43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Agentic AI to accelerate PM performance: agents, skills, context systems in day-to-day product work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0" w:line="248"/>
            </w:pPr>
            <w:r>
              <w:rPr>
                <w:sz w:val="19"/>
                <w:szCs w:val="19"/>
              </w:rPr>
              <w:t xml:space="preserve">The PM role in the agentic-AI era: the blurring boundaries between product, engineering and design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Shipping AI solutions to customers: evals &amp; governance</w:t>
            </w:r>
          </w:p>
        </w:tc>
        <w:tc>
          <w:tcPr>
            <w:tcW w:type="dxa" w:w="290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D6.1 — </w:t>
            </w:r>
            <w:r>
              <w:rPr>
                <w:sz w:val="19"/>
                <w:szCs w:val="19"/>
              </w:rPr>
              <w:t xml:space="preserve">Live demo: a PM’s agentic-AI setup (agents, skills, context systems); how the PM / Service-Owner role shifts; evals &amp; governance</w:t>
            </w:r>
          </w:p>
          <w:p>
            <w:pPr>
              <w:spacing w:after="0" w:before="0" w:line="248"/>
            </w:pPr>
            <w:r>
              <w:rPr>
                <w:b/>
                <w:bCs/>
                <w:sz w:val="19"/>
                <w:szCs w:val="19"/>
              </w:rPr>
              <w:t xml:space="preserve">W6.2 — </w:t>
            </w:r>
            <w:r>
              <w:rPr>
                <w:sz w:val="19"/>
                <w:szCs w:val="19"/>
              </w:rPr>
              <w:t xml:space="preserve">AI-powered PM: focus areas</w:t>
            </w:r>
          </w:p>
        </w:tc>
        <w:tc>
          <w:tcPr>
            <w:tcW w:type="dxa" w:w="306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AI-powered PM: focus areas</w:t>
            </w:r>
          </w:p>
          <w:p>
            <w:pPr>
              <w:spacing w:after="4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Each group maps its own product workflow (discovery → definition → delivery → measurement), identifies where agents, skills and context systems can accelerate or take over parts of the PM work, and defines 1–2 focus areas with the first experiments to run.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Output: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AI-powered-PM focus areas + first experiments per group.</w:t>
            </w:r>
          </w:p>
        </w:tc>
        <w:tc>
          <w:tcPr>
            <w:tcW w:type="dxa" w:w="1720"/>
            <w:shd w:fill="EEF3F9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Sketch the group’s agentic PM setup for its chosen focus areas (light — the program is converging).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7. Next steps</w:t>
            </w:r>
          </w:p>
          <w:p>
            <w:pPr>
              <w:spacing w:after="0" w:before="0" w:line="252"/>
            </w:pPr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2 sessions · 1 S + 1 W</w:t>
            </w:r>
          </w:p>
        </w:tc>
        <w:tc>
          <w:tcPr>
            <w:tcW w:type="dxa" w:w="43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0" w:before="0" w:line="248"/>
            </w:pPr>
            <w:r>
              <w:rPr>
                <w:sz w:val="19"/>
                <w:szCs w:val="19"/>
              </w:rPr>
              <w:t xml:space="preserve">Turning engineering capabilities into repeatable offerings: the product processes and operating model that make productization stick — vision, discovery, delivery, measurement, prioritization, roadmap, asset ownership, incentives</w:t>
            </w:r>
          </w:p>
        </w:tc>
        <w:tc>
          <w:tcPr>
            <w:tcW w:type="dxa" w:w="290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48"/>
            </w:pPr>
            <w:r>
              <w:rPr>
                <w:b/>
                <w:bCs/>
                <w:sz w:val="19"/>
                <w:szCs w:val="19"/>
              </w:rPr>
              <w:t xml:space="preserve">S7.1 — </w:t>
            </w:r>
            <w:r>
              <w:rPr>
                <w:sz w:val="19"/>
                <w:szCs w:val="19"/>
              </w:rPr>
              <w:t xml:space="preserve">The product operating model: synthesizing the program into the processes &amp; roles that must operate for productization to stick</w:t>
            </w:r>
          </w:p>
          <w:p>
            <w:pPr>
              <w:spacing w:after="0" w:before="0" w:line="248"/>
            </w:pPr>
            <w:r>
              <w:rPr>
                <w:b/>
                <w:bCs/>
                <w:sz w:val="19"/>
                <w:szCs w:val="19"/>
              </w:rPr>
              <w:t xml:space="preserve">W7.2 — </w:t>
            </w:r>
            <w:r>
              <w:rPr>
                <w:sz w:val="19"/>
                <w:szCs w:val="19"/>
              </w:rPr>
              <w:t xml:space="preserve">Transformation roadmap (facilitated brainstorm)</w:t>
            </w:r>
          </w:p>
        </w:tc>
        <w:tc>
          <w:tcPr>
            <w:tcW w:type="dxa" w:w="306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52"/>
            </w:pPr>
            <w:r>
              <w:rPr>
                <w:b/>
                <w:bCs/>
                <w:sz w:val="19"/>
                <w:szCs w:val="19"/>
              </w:rPr>
              <w:t xml:space="preserve">Transformation roadmap (facilitated brainstorm)</w:t>
            </w:r>
          </w:p>
          <w:p>
            <w:pPr>
              <w:spacing w:after="4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facilitated brainstorm on moving from single-project delivery to repeatable offerings: what to standardize, who owns which assets, which operating-model and incentive changes are needed. Participants commit to owned next actions; groups give a short capstone recap of their asset’s journey.</w:t>
            </w:r>
          </w:p>
          <w:p>
            <w:pPr>
              <w:spacing w:after="0" w:before="0" w:line="248"/>
            </w:pPr>
            <w:r>
              <w:rPr>
                <w:b/>
                <w:bCs/>
                <w:color w:val="595959"/>
                <w:sz w:val="19"/>
                <w:szCs w:val="19"/>
              </w:rPr>
              <w:t xml:space="preserve">Output: </w:t>
            </w:r>
            <w:r>
              <w:rPr>
                <w:i/>
                <w:iCs/>
                <w:color w:val="595959"/>
                <w:sz w:val="19"/>
                <w:szCs w:val="19"/>
              </w:rPr>
              <w:t xml:space="preserve">a next-steps transformation roadmap + owned commitments.</w:t>
            </w:r>
          </w:p>
        </w:tc>
        <w:tc>
          <w:tcPr>
            <w:tcW w:type="dxa" w:w="1720"/>
            <w:tcMar>
              <w:top w:type="dxa" w:w="5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 — the capstone is presented live in the final session.</w:t>
            </w:r>
          </w:p>
        </w:tc>
      </w:tr>
    </w:tbl>
    <w:sectPr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</w:pPr>
    <w:r>
      <w:rPr>
        <w:color w:val="7F7F7F"/>
        <w:sz w:val="16"/>
        <w:szCs w:val="16"/>
      </w:rPr>
      <w:t xml:space="preserve">Oleksii Orlov  ·  Product Management corporate training  ·  Commercial proposal</w:t>
    </w:r>
    <w:r>
      <w:rPr>
        <w:sz w:val="16"/>
        <w:szCs w:val="16"/>
      </w:rPr>
      <w:t xml:space="preserve">	</w:t>
    </w:r>
    <w:r>
      <w:rPr>
        <w:color w:val="7F7F7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13680"/>
      </w:tabs>
    </w:pPr>
    <w:r>
      <w:rPr>
        <w:color w:val="7F7F7F"/>
        <w:sz w:val="16"/>
        <w:szCs w:val="16"/>
      </w:rPr>
      <w:t xml:space="preserve">Oleksii Orlov  ·  Product Management corporate training  ·  Commercial proposal</w:t>
    </w:r>
    <w:r>
      <w:rPr>
        <w:sz w:val="16"/>
        <w:szCs w:val="16"/>
      </w:rPr>
      <w:t xml:space="preserve">	</w:t>
    </w:r>
    <w:r>
      <w:rPr>
        <w:color w:val="7F7F7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90" w:hanging="1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40" w:before="0"/>
    </w:pPr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9D9D9" w:sz="4" w:space="3"/>
      </w:pBdr>
      <w:spacing w:after="100" w:before="200"/>
      <w:outlineLvl w:val="0"/>
    </w:pPr>
    <w:rPr>
      <w:rFonts w:ascii="Arial" w:cs="Arial" w:eastAsia="Arial" w:hAnsi="Arial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oecc8msmwqevexbdjtpdb" Type="http://schemas.openxmlformats.org/officeDocument/2006/relationships/hyperlink" Target="https://www.linkedin.com/in/aorlov" TargetMode="External"/><Relationship Id="rIddwha2yxkkc-icdm3dvhcq" Type="http://schemas.openxmlformats.org/officeDocument/2006/relationships/hyperlink" Target="https://www.linkedin.com/in/aorlo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Service to Product — PM &amp; product-mindset corporate training (SoftServe)</dc:title>
  <dc:creator>Oleksii Orlov</dc:creator>
  <cp:lastModifiedBy>Un-named</cp:lastModifiedBy>
  <cp:revision>1</cp:revision>
  <dcterms:created xsi:type="dcterms:W3CDTF">2026-07-07T18:52:06.078Z</dcterms:created>
  <dcterms:modified xsi:type="dcterms:W3CDTF">2026-07-07T18:52:06.079Z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