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line="276" w:lineRule="auto"/>
      </w:pPr>
      <w:r>
        <w:rPr>
          <w:b/>
          <w:color w:val="1485C3"/>
          <w:sz w:val="16"/>
        </w:rPr>
        <w:t>SOFTSERVE × ORACLE</w:t>
      </w:r>
      <w:r>
        <w:rPr>
          <w:color w:val="6B7076"/>
          <w:sz w:val="16"/>
        </w:rPr>
        <w:t xml:space="preserve">   ·   OCI AI ACCELERATORS</w:t>
      </w:r>
    </w:p>
    <w:p>
      <w:pPr>
        <w:spacing w:after="62" w:line="276" w:lineRule="auto"/>
        <w:pBdr>
          <w:bottom w:val="single" w:sz="12" w:space="4" w:color="1485C3"/>
        </w:pBdr>
      </w:pPr>
      <w:r>
        <w:rPr>
          <w:b/>
          <w:sz w:val="32"/>
        </w:rPr>
        <w:t>Account Insights — Feature list</w:t>
      </w:r>
    </w:p>
    <w:p>
      <w:pPr>
        <w:spacing w:before="60" w:after="42" w:line="276" w:lineRule="auto"/>
      </w:pPr>
      <w:r>
        <w:rPr>
          <w:b/>
          <w:color w:val="1485C3"/>
          <w:sz w:val="16"/>
        </w:rPr>
        <w:t xml:space="preserve">App.  </w:t>
      </w:r>
      <w:r>
        <w:rPr>
          <w:sz w:val="16"/>
        </w:rPr>
        <w:t>Turns market events into named opportunities on the accounts you already cover — each mapped to a service you sell, scored and cited for review.</w:t>
      </w:r>
    </w:p>
    <w:tbl>
      <w:tblPr>
        <w:tblW w:type="dxa" w:w="1025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left w:w="10" w:type="dxa"/>
          <w:right w:w="10" w:type="dxa"/>
        </w:tblCellMar>
      </w:tblPr>
      <w:tblGrid>
        <w:gridCol w:w="1077"/>
        <w:gridCol w:w="1978"/>
        <w:gridCol w:w="3420"/>
        <w:gridCol w:w="1350"/>
        <w:gridCol w:w="2425"/>
      </w:tblGrid>
      <w:tr>
        <w:trPr>
          <w:cantSplit/>
          <w:trHeight w:val="300"/>
          <w:tblHeader/>
        </w:trPr>
        <w:tc>
          <w:tcPr>
            <w:tcW w:type="dxa" w:w="1077"/>
            <w:shd w:val="clear" w:color="auto" w:fill="26282B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Area</w:t>
            </w:r>
          </w:p>
        </w:tc>
        <w:tc>
          <w:tcPr>
            <w:tcW w:type="dxa" w:w="1978"/>
            <w:shd w:val="clear" w:color="auto" w:fill="26282B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Category</w:t>
            </w:r>
          </w:p>
        </w:tc>
        <w:tc>
          <w:tcPr>
            <w:tcW w:type="dxa" w:w="3420"/>
            <w:shd w:val="clear" w:color="auto" w:fill="26282B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Features</w:t>
            </w:r>
          </w:p>
        </w:tc>
        <w:tc>
          <w:tcPr>
            <w:tcW w:type="dxa" w:w="1350"/>
            <w:shd w:val="clear" w:color="auto" w:fill="26282B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Current status</w:t>
            </w:r>
          </w:p>
        </w:tc>
        <w:tc>
          <w:tcPr>
            <w:tcW w:type="dxa" w:w="2425"/>
            <w:shd w:val="clear" w:color="auto" w:fill="26282B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Standard customization scope</w:t>
            </w:r>
          </w:p>
        </w:tc>
      </w:tr>
      <w:tr>
        <w:trPr>
          <w:cantSplit/>
          <w:trHeight w:val="300"/>
        </w:trPr>
        <w:tc>
          <w:tcPr>
            <w:tcW w:type="dxa" w:w="1077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1485C3"/>
            <w:vMerge w:val="restart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Account universe &amp; grounding</w:t>
            </w:r>
          </w:p>
        </w:tc>
        <w:tc>
          <w:tcPr>
            <w:tcW w:type="dxa" w:w="1978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EDF0F2"/>
            <w:vMerge w:val="restart"/>
          </w:tcPr>
          <w:p>
            <w:pPr>
              <w:spacing w:before="0" w:after="0"/>
            </w:pPr>
            <w:r>
              <w:rPr>
                <w:b w:val="0"/>
                <w:sz w:val="15"/>
              </w:rPr>
              <w:t>The account universe</w:t>
            </w:r>
          </w:p>
        </w:tc>
        <w:tc>
          <w:tcPr>
            <w:tcW w:type="dxa" w:w="3420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b w:val="0"/>
                <w:sz w:val="15"/>
              </w:rPr>
              <w:t>In-scope account list and tiering</w:t>
            </w:r>
          </w:p>
        </w:tc>
        <w:tc>
          <w:tcPr>
            <w:tcW w:type="dxa" w:w="1350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  <w:vMerge w:val="restart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color w:val="1485C3"/>
                <w:sz w:val="20"/>
              </w:rPr>
              <w:t>◐</w:t>
            </w:r>
          </w:p>
        </w:tc>
        <w:tc>
          <w:tcPr>
            <w:tcW w:type="dxa" w:w="2425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  <w:vMerge w:val="restart"/>
          </w:tcPr>
          <w:p>
            <w:pPr>
              <w:pStyle w:val="ListBullet"/>
              <w:spacing w:before="0" w:after="0"/>
              <w:ind w:left="159"/>
            </w:pPr>
            <w:r/>
            <w:r>
              <w:rPr>
                <w:sz w:val="15"/>
              </w:rPr>
              <w:t>In-scope account list definition · CRM field mapping and account-framing extraction · Per-client service-catalog capture · Signal-source selection and licensing review</w:t>
            </w:r>
          </w:p>
        </w:tc>
      </w:tr>
      <w:tr>
        <w:trPr>
          <w:cantSplit/>
          <w:trHeight w:val="300"/>
        </w:trPr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1485C3"/>
            <w:vMerge/>
          </w:tcPr>
          <w:p>
            <w:r/>
          </w:p>
        </w:tc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EDF0F2"/>
            <w:vMerge/>
          </w:tcPr>
          <w:p>
            <w:r/>
          </w:p>
        </w:tc>
        <w:tc>
          <w:tcPr>
            <w:tcW w:type="dxa" w:w="3420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b w:val="0"/>
                <w:sz w:val="15"/>
              </w:rPr>
              <w:t>Account framing from CRM (the relationship in the client's own words)</w:t>
            </w:r>
          </w:p>
        </w:tc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  <w:vMerge/>
          </w:tcPr>
          <w:p>
            <w:r/>
          </w:p>
        </w:tc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  <w:vMerge/>
          </w:tcPr>
          <w:p>
            <w:r/>
          </w:p>
        </w:tc>
      </w:tr>
      <w:tr>
        <w:trPr>
          <w:cantSplit/>
          <w:trHeight w:val="300"/>
        </w:trPr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1485C3"/>
            <w:vMerge/>
          </w:tcPr>
          <w:p>
            <w:r/>
          </w:p>
        </w:tc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EDF0F2"/>
            <w:vMerge/>
          </w:tcPr>
          <w:p>
            <w:r/>
          </w:p>
        </w:tc>
        <w:tc>
          <w:tcPr>
            <w:tcW w:type="dxa" w:w="3420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b w:val="0"/>
                <w:sz w:val="15"/>
              </w:rPr>
              <w:t>Entity grouping by legal hierarchy rather than name match</w:t>
            </w:r>
          </w:p>
        </w:tc>
        <w:tc>
          <w:tcPr>
            <w:tcW w:type="dxa" w:w="1350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color w:val="AEB4BA"/>
                <w:sz w:val="20"/>
              </w:rPr>
              <w:t>○</w:t>
            </w:r>
          </w:p>
        </w:tc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  <w:vMerge/>
          </w:tcPr>
          <w:p>
            <w:r/>
          </w:p>
        </w:tc>
      </w:tr>
      <w:tr>
        <w:trPr>
          <w:cantSplit/>
          <w:trHeight w:val="300"/>
        </w:trPr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1485C3"/>
            <w:vMerge/>
          </w:tcPr>
          <w:p>
            <w:r/>
          </w:p>
        </w:tc>
        <w:tc>
          <w:tcPr>
            <w:tcW w:type="dxa" w:w="1978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EDF0F2"/>
            <w:vMerge w:val="restart"/>
          </w:tcPr>
          <w:p>
            <w:pPr>
              <w:spacing w:before="0" w:after="0"/>
            </w:pPr>
            <w:r>
              <w:rPr>
                <w:b w:val="0"/>
                <w:sz w:val="15"/>
              </w:rPr>
              <w:t>Sources</w:t>
            </w:r>
          </w:p>
        </w:tc>
        <w:tc>
          <w:tcPr>
            <w:tcW w:type="dxa" w:w="3420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b w:val="0"/>
                <w:sz w:val="15"/>
              </w:rPr>
              <w:t>Signal ingestion — news</w:t>
            </w:r>
          </w:p>
        </w:tc>
        <w:tc>
          <w:tcPr>
            <w:tcW w:type="dxa" w:w="1350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  <w:vMerge w:val="restart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color w:val="1485C3"/>
                <w:sz w:val="20"/>
              </w:rPr>
              <w:t>◐</w:t>
            </w:r>
          </w:p>
        </w:tc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  <w:vMerge/>
          </w:tcPr>
          <w:p>
            <w:r/>
          </w:p>
        </w:tc>
      </w:tr>
      <w:tr>
        <w:trPr>
          <w:cantSplit/>
          <w:trHeight w:val="300"/>
        </w:trPr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1485C3"/>
            <w:vMerge/>
          </w:tcPr>
          <w:p>
            <w:r/>
          </w:p>
        </w:tc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EDF0F2"/>
            <w:vMerge/>
          </w:tcPr>
          <w:p>
            <w:r/>
          </w:p>
        </w:tc>
        <w:tc>
          <w:tcPr>
            <w:tcW w:type="dxa" w:w="3420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b w:val="0"/>
                <w:sz w:val="15"/>
              </w:rPr>
              <w:t>Commercial data feeds</w:t>
            </w:r>
          </w:p>
        </w:tc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  <w:vMerge/>
          </w:tcPr>
          <w:p>
            <w:r/>
          </w:p>
        </w:tc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  <w:vMerge/>
          </w:tcPr>
          <w:p>
            <w:r/>
          </w:p>
        </w:tc>
      </w:tr>
      <w:tr>
        <w:trPr>
          <w:cantSplit/>
          <w:trHeight w:val="300"/>
        </w:trPr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1485C3"/>
            <w:vMerge/>
          </w:tcPr>
          <w:p>
            <w:r/>
          </w:p>
        </w:tc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EDF0F2"/>
            <w:vMerge/>
          </w:tcPr>
          <w:p>
            <w:r/>
          </w:p>
        </w:tc>
        <w:tc>
          <w:tcPr>
            <w:tcW w:type="dxa" w:w="3420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b w:val="0"/>
                <w:sz w:val="15"/>
              </w:rPr>
              <w:t>Public filings via EDGAR and IR pages</w:t>
            </w:r>
          </w:p>
        </w:tc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  <w:vMerge/>
          </w:tcPr>
          <w:p>
            <w:r/>
          </w:p>
        </w:tc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  <w:vMerge/>
          </w:tcPr>
          <w:p>
            <w:r/>
          </w:p>
        </w:tc>
      </w:tr>
      <w:tr>
        <w:trPr>
          <w:cantSplit/>
          <w:trHeight w:val="300"/>
        </w:trPr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1485C3"/>
            <w:vMerge/>
          </w:tcPr>
          <w:p>
            <w:r/>
          </w:p>
        </w:tc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EDF0F2"/>
            <w:vMerge/>
          </w:tcPr>
          <w:p>
            <w:r/>
          </w:p>
        </w:tc>
        <w:tc>
          <w:tcPr>
            <w:tcW w:type="dxa" w:w="3420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b w:val="0"/>
                <w:sz w:val="15"/>
              </w:rPr>
              <w:t>Service-line capability catalog from the client's own material</w:t>
            </w:r>
          </w:p>
        </w:tc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  <w:vMerge/>
          </w:tcPr>
          <w:p>
            <w:r/>
          </w:p>
        </w:tc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  <w:vMerge/>
          </w:tcPr>
          <w:p>
            <w:r/>
          </w:p>
        </w:tc>
      </w:tr>
      <w:tr>
        <w:trPr>
          <w:cantSplit/>
          <w:trHeight w:val="300"/>
        </w:trPr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1485C3"/>
            <w:vMerge/>
          </w:tcPr>
          <w:p>
            <w:r/>
          </w:p>
        </w:tc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EDF0F2"/>
            <w:vMerge/>
          </w:tcPr>
          <w:p>
            <w:r/>
          </w:p>
        </w:tc>
        <w:tc>
          <w:tcPr>
            <w:tcW w:type="dxa" w:w="3420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b w:val="0"/>
                <w:sz w:val="15"/>
              </w:rPr>
              <w:t>Source-licensing and redistribution-rights gate</w:t>
            </w:r>
          </w:p>
        </w:tc>
        <w:tc>
          <w:tcPr>
            <w:tcW w:type="dxa" w:w="1350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  <w:vMerge w:val="restart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color w:val="AEB4BA"/>
                <w:sz w:val="20"/>
              </w:rPr>
              <w:t>○</w:t>
            </w:r>
          </w:p>
        </w:tc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  <w:vMerge/>
          </w:tcPr>
          <w:p>
            <w:r/>
          </w:p>
        </w:tc>
      </w:tr>
      <w:tr>
        <w:trPr>
          <w:cantSplit/>
          <w:trHeight w:val="300"/>
        </w:trPr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1485C3"/>
            <w:vMerge/>
          </w:tcPr>
          <w:p>
            <w:r/>
          </w:p>
        </w:tc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EDF0F2"/>
            <w:vMerge/>
          </w:tcPr>
          <w:p>
            <w:r/>
          </w:p>
        </w:tc>
        <w:tc>
          <w:tcPr>
            <w:tcW w:type="dxa" w:w="3420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b w:val="0"/>
                <w:sz w:val="15"/>
              </w:rPr>
              <w:t>Native multilingual processing</w:t>
            </w:r>
          </w:p>
        </w:tc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  <w:vMerge/>
          </w:tcPr>
          <w:p>
            <w:r/>
          </w:p>
        </w:tc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  <w:vMerge/>
          </w:tcPr>
          <w:p>
            <w:r/>
          </w:p>
        </w:tc>
      </w:tr>
      <w:tr>
        <w:trPr>
          <w:cantSplit/>
          <w:trHeight w:val="300"/>
        </w:trPr>
        <w:tc>
          <w:tcPr>
            <w:tcW w:type="dxa" w:w="1077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1485C3"/>
            <w:vMerge w:val="restart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Signal intake &amp; normalization</w:t>
            </w:r>
          </w:p>
        </w:tc>
        <w:tc>
          <w:tcPr>
            <w:tcW w:type="dxa" w:w="1978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EDF0F2"/>
            <w:vMerge w:val="restart"/>
          </w:tcPr>
          <w:p>
            <w:pPr>
              <w:spacing w:before="0" w:after="0"/>
            </w:pPr>
            <w:r>
              <w:rPr>
                <w:b w:val="0"/>
                <w:sz w:val="15"/>
              </w:rPr>
              <w:t>Trigger</w:t>
            </w:r>
          </w:p>
        </w:tc>
        <w:tc>
          <w:tcPr>
            <w:tcW w:type="dxa" w:w="3420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b w:val="0"/>
                <w:sz w:val="15"/>
              </w:rPr>
              <w:t>Signal-triggered — scheduled scan and manual submit</w:t>
            </w:r>
          </w:p>
        </w:tc>
        <w:tc>
          <w:tcPr>
            <w:tcW w:type="dxa" w:w="1350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  <w:vMerge w:val="restart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color w:val="1485C3"/>
                <w:sz w:val="20"/>
              </w:rPr>
              <w:t>◐</w:t>
            </w:r>
          </w:p>
        </w:tc>
        <w:tc>
          <w:tcPr>
            <w:tcW w:type="dxa" w:w="2425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  <w:vMerge w:val="restart"/>
          </w:tcPr>
          <w:p>
            <w:pPr>
              <w:pStyle w:val="ListBullet"/>
              <w:spacing w:before="0" w:after="0"/>
              <w:ind w:left="159"/>
            </w:pPr>
            <w:r/>
            <w:r>
              <w:rPr>
                <w:sz w:val="15"/>
              </w:rPr>
              <w:t>Relevance rules and thresholds per client · Account-matching rules · Cadence and source configuration · Signal-type catalog definition</w:t>
            </w:r>
          </w:p>
        </w:tc>
      </w:tr>
      <w:tr>
        <w:trPr>
          <w:cantSplit/>
          <w:trHeight w:val="300"/>
        </w:trPr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1485C3"/>
            <w:vMerge/>
          </w:tcPr>
          <w:p>
            <w:r/>
          </w:p>
        </w:tc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EDF0F2"/>
            <w:vMerge/>
          </w:tcPr>
          <w:p>
            <w:r/>
          </w:p>
        </w:tc>
        <w:tc>
          <w:tcPr>
            <w:tcW w:type="dxa" w:w="3420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b w:val="0"/>
                <w:sz w:val="15"/>
              </w:rPr>
              <w:t>Account-triggered — research one account on demand or before a meeting</w:t>
            </w:r>
          </w:p>
        </w:tc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  <w:vMerge/>
          </w:tcPr>
          <w:p>
            <w:r/>
          </w:p>
        </w:tc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  <w:vMerge/>
          </w:tcPr>
          <w:p>
            <w:r/>
          </w:p>
        </w:tc>
      </w:tr>
      <w:tr>
        <w:trPr>
          <w:cantSplit/>
          <w:trHeight w:val="300"/>
        </w:trPr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1485C3"/>
            <w:vMerge/>
          </w:tcPr>
          <w:p>
            <w:r/>
          </w:p>
        </w:tc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EDF0F2"/>
            <w:vMerge/>
          </w:tcPr>
          <w:p>
            <w:r/>
          </w:p>
        </w:tc>
        <w:tc>
          <w:tcPr>
            <w:tcW w:type="dxa" w:w="3420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b w:val="0"/>
                <w:sz w:val="15"/>
              </w:rPr>
              <w:t>Recurrence as a standing subscription per account</w:t>
            </w:r>
          </w:p>
        </w:tc>
        <w:tc>
          <w:tcPr>
            <w:tcW w:type="dxa" w:w="1350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  <w:vMerge w:val="restart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color w:val="AEB4BA"/>
                <w:sz w:val="20"/>
              </w:rPr>
              <w:t>○</w:t>
            </w:r>
          </w:p>
        </w:tc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  <w:vMerge/>
          </w:tcPr>
          <w:p>
            <w:r/>
          </w:p>
        </w:tc>
      </w:tr>
      <w:tr>
        <w:trPr>
          <w:cantSplit/>
          <w:trHeight w:val="300"/>
        </w:trPr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1485C3"/>
            <w:vMerge/>
          </w:tcPr>
          <w:p>
            <w:r/>
          </w:p>
        </w:tc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EDF0F2"/>
            <w:vMerge/>
          </w:tcPr>
          <w:p>
            <w:r/>
          </w:p>
        </w:tc>
        <w:tc>
          <w:tcPr>
            <w:tcW w:type="dxa" w:w="3420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b w:val="0"/>
                <w:sz w:val="15"/>
              </w:rPr>
              <w:t>Deadline-bound trigger — emit ahead of a dated instrument with no new signal</w:t>
            </w:r>
          </w:p>
        </w:tc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  <w:vMerge/>
          </w:tcPr>
          <w:p>
            <w:r/>
          </w:p>
        </w:tc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  <w:vMerge/>
          </w:tcPr>
          <w:p>
            <w:r/>
          </w:p>
        </w:tc>
      </w:tr>
      <w:tr>
        <w:trPr>
          <w:cantSplit/>
          <w:trHeight w:val="300"/>
        </w:trPr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1485C3"/>
            <w:vMerge/>
          </w:tcPr>
          <w:p>
            <w:r/>
          </w:p>
        </w:tc>
        <w:tc>
          <w:tcPr>
            <w:tcW w:type="dxa" w:w="1978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EDF0F2"/>
            <w:vMerge w:val="restart"/>
          </w:tcPr>
          <w:p>
            <w:pPr>
              <w:spacing w:before="0" w:after="0"/>
            </w:pPr>
            <w:r>
              <w:rPr>
                <w:b w:val="0"/>
                <w:sz w:val="15"/>
              </w:rPr>
              <w:t>Normalization</w:t>
            </w:r>
          </w:p>
        </w:tc>
        <w:tc>
          <w:tcPr>
            <w:tcW w:type="dxa" w:w="3420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b w:val="0"/>
                <w:sz w:val="15"/>
              </w:rPr>
              <w:t>Relevance filter — is this a genuine signal</w:t>
            </w:r>
          </w:p>
        </w:tc>
        <w:tc>
          <w:tcPr>
            <w:tcW w:type="dxa" w:w="1350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  <w:vMerge w:val="restart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color w:val="1485C3"/>
                <w:sz w:val="20"/>
              </w:rPr>
              <w:t>◐</w:t>
            </w:r>
          </w:p>
        </w:tc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  <w:vMerge/>
          </w:tcPr>
          <w:p>
            <w:r/>
          </w:p>
        </w:tc>
      </w:tr>
      <w:tr>
        <w:trPr>
          <w:cantSplit/>
          <w:trHeight w:val="300"/>
        </w:trPr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1485C3"/>
            <w:vMerge/>
          </w:tcPr>
          <w:p>
            <w:r/>
          </w:p>
        </w:tc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EDF0F2"/>
            <w:vMerge/>
          </w:tcPr>
          <w:p>
            <w:r/>
          </w:p>
        </w:tc>
        <w:tc>
          <w:tcPr>
            <w:tcW w:type="dxa" w:w="3420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b w:val="0"/>
                <w:sz w:val="15"/>
              </w:rPr>
              <w:t>De-duplication — one story across many sources becomes one signal</w:t>
            </w:r>
          </w:p>
        </w:tc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  <w:vMerge/>
          </w:tcPr>
          <w:p>
            <w:r/>
          </w:p>
        </w:tc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  <w:vMerge/>
          </w:tcPr>
          <w:p>
            <w:r/>
          </w:p>
        </w:tc>
      </w:tr>
      <w:tr>
        <w:trPr>
          <w:cantSplit/>
          <w:trHeight w:val="300"/>
        </w:trPr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1485C3"/>
            <w:vMerge/>
          </w:tcPr>
          <w:p>
            <w:r/>
          </w:p>
        </w:tc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EDF0F2"/>
            <w:vMerge/>
          </w:tcPr>
          <w:p>
            <w:r/>
          </w:p>
        </w:tc>
        <w:tc>
          <w:tcPr>
            <w:tcW w:type="dxa" w:w="3420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b w:val="0"/>
                <w:sz w:val="15"/>
              </w:rPr>
              <w:t>Account resolution — which in-scope accounts a signal affects</w:t>
            </w:r>
          </w:p>
        </w:tc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  <w:vMerge/>
          </w:tcPr>
          <w:p>
            <w:r/>
          </w:p>
        </w:tc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  <w:vMerge/>
          </w:tcPr>
          <w:p>
            <w:r/>
          </w:p>
        </w:tc>
      </w:tr>
      <w:tr>
        <w:trPr>
          <w:cantSplit/>
          <w:trHeight w:val="300"/>
        </w:trPr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1485C3"/>
            <w:vMerge/>
          </w:tcPr>
          <w:p>
            <w:r/>
          </w:p>
        </w:tc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EDF0F2"/>
            <w:vMerge/>
          </w:tcPr>
          <w:p>
            <w:r/>
          </w:p>
        </w:tc>
        <w:tc>
          <w:tcPr>
            <w:tcW w:type="dxa" w:w="3420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b w:val="0"/>
                <w:sz w:val="15"/>
              </w:rPr>
              <w:t>Fan-out — one signal</w:t>
            </w:r>
          </w:p>
        </w:tc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  <w:vMerge/>
          </w:tcPr>
          <w:p>
            <w:r/>
          </w:p>
        </w:tc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  <w:vMerge/>
          </w:tcPr>
          <w:p>
            <w:r/>
          </w:p>
        </w:tc>
      </w:tr>
      <w:tr>
        <w:trPr>
          <w:cantSplit/>
          <w:trHeight w:val="300"/>
        </w:trPr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1485C3"/>
            <w:vMerge/>
          </w:tcPr>
          <w:p>
            <w:r/>
          </w:p>
        </w:tc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EDF0F2"/>
            <w:vMerge/>
          </w:tcPr>
          <w:p>
            <w:r/>
          </w:p>
        </w:tc>
        <w:tc>
          <w:tcPr>
            <w:tcW w:type="dxa" w:w="3420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b w:val="0"/>
                <w:sz w:val="15"/>
              </w:rPr>
              <w:t>Delta reasoning — what changed since the last delivered record</w:t>
            </w:r>
          </w:p>
        </w:tc>
        <w:tc>
          <w:tcPr>
            <w:tcW w:type="dxa" w:w="1350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  <w:vMerge w:val="restart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color w:val="AEB4BA"/>
                <w:sz w:val="20"/>
              </w:rPr>
              <w:t>○</w:t>
            </w:r>
          </w:p>
        </w:tc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  <w:vMerge/>
          </w:tcPr>
          <w:p>
            <w:r/>
          </w:p>
        </w:tc>
      </w:tr>
      <w:tr>
        <w:trPr>
          <w:cantSplit/>
          <w:trHeight w:val="300"/>
        </w:trPr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1485C3"/>
            <w:vMerge/>
          </w:tcPr>
          <w:p>
            <w:r/>
          </w:p>
        </w:tc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EDF0F2"/>
            <w:vMerge/>
          </w:tcPr>
          <w:p>
            <w:r/>
          </w:p>
        </w:tc>
        <w:tc>
          <w:tcPr>
            <w:tcW w:type="dxa" w:w="3420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b w:val="0"/>
                <w:sz w:val="15"/>
              </w:rPr>
              <w:t>Provenance class — filing · disclosure · reported · rumour · model output</w:t>
            </w:r>
          </w:p>
        </w:tc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  <w:vMerge/>
          </w:tcPr>
          <w:p>
            <w:r/>
          </w:p>
        </w:tc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  <w:vMerge/>
          </w:tcPr>
          <w:p>
            <w:r/>
          </w:p>
        </w:tc>
      </w:tr>
      <w:tr>
        <w:trPr>
          <w:cantSplit/>
          <w:trHeight w:val="300"/>
        </w:trPr>
        <w:tc>
          <w:tcPr>
            <w:tcW w:type="dxa" w:w="1077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1485C3"/>
            <w:vMerge w:val="restart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Implication reasoning</w:t>
            </w:r>
          </w:p>
        </w:tc>
        <w:tc>
          <w:tcPr>
            <w:tcW w:type="dxa" w:w="1978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EDF0F2"/>
            <w:vMerge w:val="restart"/>
          </w:tcPr>
          <w:p>
            <w:pPr>
              <w:spacing w:before="0" w:after="0"/>
            </w:pPr>
            <w:r>
              <w:rPr>
                <w:b w:val="0"/>
                <w:sz w:val="15"/>
              </w:rPr>
              <w:t>Evidence</w:t>
            </w:r>
          </w:p>
        </w:tc>
        <w:tc>
          <w:tcPr>
            <w:tcW w:type="dxa" w:w="3420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b w:val="0"/>
                <w:sz w:val="15"/>
              </w:rPr>
              <w:t>Evidence assembly and ranking across first-party and public sources</w:t>
            </w:r>
          </w:p>
        </w:tc>
        <w:tc>
          <w:tcPr>
            <w:tcW w:type="dxa" w:w="1350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color w:val="1485C3"/>
                <w:sz w:val="20"/>
              </w:rPr>
              <w:t>●</w:t>
            </w:r>
          </w:p>
        </w:tc>
        <w:tc>
          <w:tcPr>
            <w:tcW w:type="dxa" w:w="2425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  <w:vMerge w:val="restart"/>
          </w:tcPr>
          <w:p>
            <w:pPr>
              <w:pStyle w:val="ListBullet"/>
              <w:spacing w:before="0" w:after="0"/>
              <w:ind w:left="159"/>
            </w:pPr>
            <w:r/>
            <w:r>
              <w:rPr>
                <w:sz w:val="15"/>
              </w:rPr>
              <w:t>Reasoning prompts per domain · Ripple rules per domain · Client catalog and mapping logic · Scoring rubric and thresholds per client</w:t>
            </w:r>
          </w:p>
        </w:tc>
      </w:tr>
      <w:tr>
        <w:trPr>
          <w:cantSplit/>
          <w:trHeight w:val="300"/>
        </w:trPr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1485C3"/>
            <w:vMerge/>
          </w:tcPr>
          <w:p>
            <w:r/>
          </w:p>
        </w:tc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EDF0F2"/>
            <w:vMerge/>
          </w:tcPr>
          <w:p>
            <w:r/>
          </w:p>
        </w:tc>
        <w:tc>
          <w:tcPr>
            <w:tcW w:type="dxa" w:w="3420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b w:val="0"/>
                <w:sz w:val="15"/>
              </w:rPr>
              <w:t>Evidence set shown for review before the reasoning</w:t>
            </w:r>
          </w:p>
        </w:tc>
        <w:tc>
          <w:tcPr>
            <w:tcW w:type="dxa" w:w="1350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  <w:vMerge w:val="restart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color w:val="AEB4BA"/>
                <w:sz w:val="20"/>
              </w:rPr>
              <w:t>○</w:t>
            </w:r>
          </w:p>
        </w:tc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  <w:vMerge/>
          </w:tcPr>
          <w:p>
            <w:r/>
          </w:p>
        </w:tc>
      </w:tr>
      <w:tr>
        <w:trPr>
          <w:cantSplit/>
          <w:trHeight w:val="300"/>
        </w:trPr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1485C3"/>
            <w:vMerge/>
          </w:tcPr>
          <w:p>
            <w:r/>
          </w:p>
        </w:tc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EDF0F2"/>
            <w:vMerge/>
          </w:tcPr>
          <w:p>
            <w:r/>
          </w:p>
        </w:tc>
        <w:tc>
          <w:tcPr>
            <w:tcW w:type="dxa" w:w="3420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b w:val="0"/>
                <w:sz w:val="15"/>
              </w:rPr>
              <w:t>Contradiction between reliable sources surfaced as a finding</w:t>
            </w:r>
          </w:p>
        </w:tc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  <w:vMerge/>
          </w:tcPr>
          <w:p>
            <w:r/>
          </w:p>
        </w:tc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  <w:vMerge/>
          </w:tcPr>
          <w:p>
            <w:r/>
          </w:p>
        </w:tc>
      </w:tr>
      <w:tr>
        <w:trPr>
          <w:cantSplit/>
          <w:trHeight w:val="300"/>
        </w:trPr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1485C3"/>
            <w:vMerge/>
          </w:tcPr>
          <w:p>
            <w:r/>
          </w:p>
        </w:tc>
        <w:tc>
          <w:tcPr>
            <w:tcW w:type="dxa" w:w="1978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EDF0F2"/>
            <w:vMerge w:val="restart"/>
          </w:tcPr>
          <w:p>
            <w:pPr>
              <w:spacing w:before="0" w:after="0"/>
            </w:pPr>
            <w:r>
              <w:rPr>
                <w:b w:val="0"/>
                <w:sz w:val="15"/>
              </w:rPr>
              <w:t>The implication</w:t>
            </w:r>
          </w:p>
        </w:tc>
        <w:tc>
          <w:tcPr>
            <w:tcW w:type="dxa" w:w="3420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b w:val="0"/>
                <w:sz w:val="15"/>
              </w:rPr>
              <w:t>Opportunity and risk reasoning — the "so what" per account</w:t>
            </w:r>
          </w:p>
        </w:tc>
        <w:tc>
          <w:tcPr>
            <w:tcW w:type="dxa" w:w="1350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color w:val="1485C3"/>
                <w:sz w:val="20"/>
              </w:rPr>
              <w:t>◐</w:t>
            </w:r>
          </w:p>
        </w:tc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  <w:vMerge/>
          </w:tcPr>
          <w:p>
            <w:r/>
          </w:p>
        </w:tc>
      </w:tr>
      <w:tr>
        <w:trPr>
          <w:cantSplit/>
          <w:trHeight w:val="300"/>
        </w:trPr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1485C3"/>
            <w:vMerge/>
          </w:tcPr>
          <w:p>
            <w:r/>
          </w:p>
        </w:tc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EDF0F2"/>
            <w:vMerge/>
          </w:tcPr>
          <w:p>
            <w:r/>
          </w:p>
        </w:tc>
        <w:tc>
          <w:tcPr>
            <w:tcW w:type="dxa" w:w="3420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b w:val="0"/>
                <w:sz w:val="15"/>
              </w:rPr>
              <w:t>Dual implication — one signal yields an opportunity and a risk</w:t>
            </w:r>
          </w:p>
        </w:tc>
        <w:tc>
          <w:tcPr>
            <w:tcW w:type="dxa" w:w="1350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  <w:vMerge w:val="restart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color w:val="AEB4BA"/>
                <w:sz w:val="20"/>
              </w:rPr>
              <w:t>○</w:t>
            </w:r>
          </w:p>
        </w:tc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  <w:vMerge/>
          </w:tcPr>
          <w:p>
            <w:r/>
          </w:p>
        </w:tc>
      </w:tr>
      <w:tr>
        <w:trPr>
          <w:cantSplit/>
          <w:trHeight w:val="300"/>
        </w:trPr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1485C3"/>
            <w:vMerge/>
          </w:tcPr>
          <w:p>
            <w:r/>
          </w:p>
        </w:tc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EDF0F2"/>
            <w:vMerge/>
          </w:tcPr>
          <w:p>
            <w:r/>
          </w:p>
        </w:tc>
        <w:tc>
          <w:tcPr>
            <w:tcW w:type="dxa" w:w="3420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b w:val="0"/>
                <w:sz w:val="15"/>
              </w:rPr>
              <w:t>Inference validity — does the conclusion follow from the cited evidence</w:t>
            </w:r>
          </w:p>
        </w:tc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  <w:vMerge/>
          </w:tcPr>
          <w:p>
            <w:r/>
          </w:p>
        </w:tc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  <w:vMerge/>
          </w:tcPr>
          <w:p>
            <w:r/>
          </w:p>
        </w:tc>
      </w:tr>
      <w:tr>
        <w:trPr>
          <w:cantSplit/>
          <w:trHeight w:val="300"/>
        </w:trPr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1485C3"/>
            <w:vMerge/>
          </w:tcPr>
          <w:p>
            <w:r/>
          </w:p>
        </w:tc>
        <w:tc>
          <w:tcPr>
            <w:tcW w:type="dxa" w:w="1978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EDF0F2"/>
            <w:vMerge w:val="restart"/>
          </w:tcPr>
          <w:p>
            <w:pPr>
              <w:spacing w:before="0" w:after="0"/>
            </w:pPr>
            <w:r>
              <w:rPr>
                <w:b w:val="0"/>
                <w:sz w:val="15"/>
              </w:rPr>
              <w:t>Catalog mapping</w:t>
            </w:r>
          </w:p>
        </w:tc>
        <w:tc>
          <w:tcPr>
            <w:tcW w:type="dxa" w:w="3420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b w:val="0"/>
                <w:sz w:val="15"/>
              </w:rPr>
              <w:t>Opportunity mapped to a named service line the client actually sells</w:t>
            </w:r>
          </w:p>
        </w:tc>
        <w:tc>
          <w:tcPr>
            <w:tcW w:type="dxa" w:w="1350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color w:val="1485C3"/>
                <w:sz w:val="20"/>
              </w:rPr>
              <w:t>◐</w:t>
            </w:r>
          </w:p>
        </w:tc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  <w:vMerge/>
          </w:tcPr>
          <w:p>
            <w:r/>
          </w:p>
        </w:tc>
      </w:tr>
      <w:tr>
        <w:trPr>
          <w:cantSplit/>
          <w:trHeight w:val="300"/>
        </w:trPr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1485C3"/>
            <w:vMerge/>
          </w:tcPr>
          <w:p>
            <w:r/>
          </w:p>
        </w:tc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EDF0F2"/>
            <w:vMerge/>
          </w:tcPr>
          <w:p>
            <w:r/>
          </w:p>
        </w:tc>
        <w:tc>
          <w:tcPr>
            <w:tcW w:type="dxa" w:w="3420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b w:val="0"/>
                <w:sz w:val="15"/>
              </w:rPr>
              <w:t>Catalog target configurable — offering · lever · mitigation · none</w:t>
            </w:r>
          </w:p>
        </w:tc>
        <w:tc>
          <w:tcPr>
            <w:tcW w:type="dxa" w:w="1350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  <w:vMerge w:val="restart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color w:val="AEB4BA"/>
                <w:sz w:val="20"/>
              </w:rPr>
              <w:t>○</w:t>
            </w:r>
          </w:p>
        </w:tc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  <w:vMerge/>
          </w:tcPr>
          <w:p>
            <w:r/>
          </w:p>
        </w:tc>
      </w:tr>
      <w:tr>
        <w:trPr>
          <w:cantSplit/>
          <w:trHeight w:val="300"/>
        </w:trPr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1485C3"/>
            <w:vMerge/>
          </w:tcPr>
          <w:p>
            <w:r/>
          </w:p>
        </w:tc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EDF0F2"/>
            <w:vMerge/>
          </w:tcPr>
          <w:p>
            <w:r/>
          </w:p>
        </w:tc>
        <w:tc>
          <w:tcPr>
            <w:tcW w:type="dxa" w:w="3420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b w:val="0"/>
                <w:sz w:val="15"/>
              </w:rPr>
              <w:t>Demand-gap stream — implications that mapped to nothing</w:t>
            </w:r>
          </w:p>
        </w:tc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  <w:vMerge/>
          </w:tcPr>
          <w:p>
            <w:r/>
          </w:p>
        </w:tc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  <w:vMerge/>
          </w:tcPr>
          <w:p>
            <w:r/>
          </w:p>
        </w:tc>
      </w:tr>
      <w:tr>
        <w:trPr>
          <w:cantSplit/>
          <w:trHeight w:val="300"/>
        </w:trPr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1485C3"/>
            <w:vMerge/>
          </w:tcPr>
          <w:p>
            <w:r/>
          </w:p>
        </w:tc>
        <w:tc>
          <w:tcPr>
            <w:tcW w:type="dxa" w:w="1978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EDF0F2"/>
            <w:vMerge w:val="restart"/>
          </w:tcPr>
          <w:p>
            <w:pPr>
              <w:spacing w:before="0" w:after="0"/>
            </w:pPr>
            <w:r>
              <w:rPr>
                <w:b w:val="0"/>
                <w:sz w:val="15"/>
              </w:rPr>
              <w:t>Ripple</w:t>
            </w:r>
          </w:p>
        </w:tc>
        <w:tc>
          <w:tcPr>
            <w:tcW w:type="dxa" w:w="3420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b w:val="0"/>
                <w:sz w:val="15"/>
              </w:rPr>
              <w:t>Cross-account ripple</w:t>
            </w:r>
          </w:p>
        </w:tc>
        <w:tc>
          <w:tcPr>
            <w:tcW w:type="dxa" w:w="1350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color w:val="1485C3"/>
                <w:sz w:val="20"/>
              </w:rPr>
              <w:t>◐</w:t>
            </w:r>
          </w:p>
        </w:tc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  <w:vMerge/>
          </w:tcPr>
          <w:p>
            <w:r/>
          </w:p>
        </w:tc>
      </w:tr>
      <w:tr>
        <w:trPr>
          <w:cantSplit/>
          <w:trHeight w:val="300"/>
        </w:trPr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1485C3"/>
            <w:vMerge/>
          </w:tcPr>
          <w:p>
            <w:r/>
          </w:p>
        </w:tc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EDF0F2"/>
            <w:vMerge/>
          </w:tcPr>
          <w:p>
            <w:r/>
          </w:p>
        </w:tc>
        <w:tc>
          <w:tcPr>
            <w:tcW w:type="dxa" w:w="3420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b w:val="0"/>
                <w:sz w:val="15"/>
              </w:rPr>
              <w:t>Graph-backed ripple over a licensed relationship graph</w:t>
            </w:r>
          </w:p>
        </w:tc>
        <w:tc>
          <w:tcPr>
            <w:tcW w:type="dxa" w:w="1350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  <w:vMerge w:val="restart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color w:val="AEB4BA"/>
                <w:sz w:val="20"/>
              </w:rPr>
              <w:t>○</w:t>
            </w:r>
          </w:p>
        </w:tc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  <w:vMerge/>
          </w:tcPr>
          <w:p>
            <w:r/>
          </w:p>
        </w:tc>
      </w:tr>
      <w:tr>
        <w:trPr>
          <w:cantSplit/>
          <w:trHeight w:val="300"/>
        </w:trPr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1485C3"/>
            <w:vMerge/>
          </w:tcPr>
          <w:p>
            <w:r/>
          </w:p>
        </w:tc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EDF0F2"/>
            <w:vMerge/>
          </w:tcPr>
          <w:p>
            <w:r/>
          </w:p>
        </w:tc>
        <w:tc>
          <w:tcPr>
            <w:tcW w:type="dxa" w:w="3420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b w:val="0"/>
                <w:sz w:val="15"/>
              </w:rPr>
              <w:t>Portfolio aggregation — correlated groups evaluated as the unit</w:t>
            </w:r>
          </w:p>
        </w:tc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  <w:vMerge/>
          </w:tcPr>
          <w:p>
            <w:r/>
          </w:p>
        </w:tc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  <w:vMerge/>
          </w:tcPr>
          <w:p>
            <w:r/>
          </w:p>
        </w:tc>
      </w:tr>
      <w:tr>
        <w:trPr>
          <w:cantSplit/>
          <w:trHeight w:val="300"/>
        </w:trPr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1485C3"/>
            <w:vMerge/>
          </w:tcPr>
          <w:p>
            <w:r/>
          </w:p>
        </w:tc>
        <w:tc>
          <w:tcPr>
            <w:tcW w:type="dxa" w:w="1978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EDF0F2"/>
            <w:vMerge w:val="restart"/>
          </w:tcPr>
          <w:p>
            <w:pPr>
              <w:spacing w:before="0" w:after="0"/>
            </w:pPr>
            <w:r>
              <w:rPr>
                <w:b w:val="0"/>
                <w:sz w:val="15"/>
              </w:rPr>
              <w:t>Scoring</w:t>
            </w:r>
          </w:p>
        </w:tc>
        <w:tc>
          <w:tcPr>
            <w:tcW w:type="dxa" w:w="3420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b w:val="0"/>
                <w:sz w:val="15"/>
              </w:rPr>
              <w:t>Magnitude and confidence scored 0-10 per item</w:t>
            </w:r>
          </w:p>
        </w:tc>
        <w:tc>
          <w:tcPr>
            <w:tcW w:type="dxa" w:w="1350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color w:val="1485C3"/>
                <w:sz w:val="20"/>
              </w:rPr>
              <w:t>◐</w:t>
            </w:r>
          </w:p>
        </w:tc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  <w:vMerge/>
          </w:tcPr>
          <w:p>
            <w:r/>
          </w:p>
        </w:tc>
      </w:tr>
      <w:tr>
        <w:trPr>
          <w:cantSplit/>
          <w:trHeight w:val="300"/>
        </w:trPr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1485C3"/>
            <w:vMerge/>
          </w:tcPr>
          <w:p>
            <w:r/>
          </w:p>
        </w:tc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EDF0F2"/>
            <w:vMerge/>
          </w:tcPr>
          <w:p>
            <w:r/>
          </w:p>
        </w:tc>
        <w:tc>
          <w:tcPr>
            <w:tcW w:type="dxa" w:w="3420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b w:val="0"/>
                <w:sz w:val="15"/>
              </w:rPr>
              <w:t>Calibrated confidence tested against realized outcomes</w:t>
            </w:r>
          </w:p>
        </w:tc>
        <w:tc>
          <w:tcPr>
            <w:tcW w:type="dxa" w:w="1350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  <w:vMerge w:val="restart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color w:val="AEB4BA"/>
                <w:sz w:val="20"/>
              </w:rPr>
              <w:t>○</w:t>
            </w:r>
          </w:p>
        </w:tc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  <w:vMerge/>
          </w:tcPr>
          <w:p>
            <w:r/>
          </w:p>
        </w:tc>
      </w:tr>
      <w:tr>
        <w:trPr>
          <w:cantSplit/>
          <w:trHeight w:val="300"/>
        </w:trPr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1485C3"/>
            <w:vMerge/>
          </w:tcPr>
          <w:p>
            <w:r/>
          </w:p>
        </w:tc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EDF0F2"/>
            <w:vMerge/>
          </w:tcPr>
          <w:p>
            <w:r/>
          </w:p>
        </w:tc>
        <w:tc>
          <w:tcPr>
            <w:tcW w:type="dxa" w:w="3420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b w:val="0"/>
                <w:sz w:val="15"/>
              </w:rPr>
              <w:t>Cost-aware ranking under a capacity constraint</w:t>
            </w:r>
          </w:p>
        </w:tc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  <w:vMerge/>
          </w:tcPr>
          <w:p>
            <w:r/>
          </w:p>
        </w:tc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  <w:vMerge/>
          </w:tcPr>
          <w:p>
            <w:r/>
          </w:p>
        </w:tc>
      </w:tr>
      <w:tr>
        <w:trPr>
          <w:cantSplit/>
          <w:trHeight w:val="300"/>
        </w:trPr>
        <w:tc>
          <w:tcPr>
            <w:tcW w:type="dxa" w:w="1077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1485C3"/>
            <w:vMerge w:val="restart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Review &amp; evidence</w:t>
            </w:r>
          </w:p>
        </w:tc>
        <w:tc>
          <w:tcPr>
            <w:tcW w:type="dxa" w:w="1978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EDF0F2"/>
            <w:vMerge w:val="restart"/>
          </w:tcPr>
          <w:p>
            <w:pPr>
              <w:spacing w:before="0" w:after="0"/>
            </w:pPr>
            <w:r>
              <w:rPr>
                <w:b w:val="0"/>
                <w:sz w:val="15"/>
              </w:rPr>
              <w:t>The reviewer</w:t>
            </w:r>
          </w:p>
        </w:tc>
        <w:tc>
          <w:tcPr>
            <w:tcW w:type="dxa" w:w="3420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b w:val="0"/>
                <w:sz w:val="15"/>
              </w:rPr>
              <w:t>Reviewer UI — opportunities</w:t>
            </w:r>
          </w:p>
        </w:tc>
        <w:tc>
          <w:tcPr>
            <w:tcW w:type="dxa" w:w="1350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  <w:vMerge w:val="restart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color w:val="1485C3"/>
                <w:sz w:val="20"/>
              </w:rPr>
              <w:t>●</w:t>
            </w:r>
          </w:p>
        </w:tc>
        <w:tc>
          <w:tcPr>
            <w:tcW w:type="dxa" w:w="2425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  <w:vMerge w:val="restart"/>
          </w:tcPr>
          <w:p>
            <w:pPr>
              <w:pStyle w:val="ListBullet"/>
              <w:spacing w:before="0" w:after="0"/>
              <w:ind w:left="159"/>
            </w:pPr>
            <w:r/>
            <w:r>
              <w:rPr>
                <w:sz w:val="15"/>
              </w:rPr>
              <w:t>Reviewer layout and workflow configuration · Evaluation set and rubric per client · Feedback fields per workflow</w:t>
            </w:r>
          </w:p>
        </w:tc>
      </w:tr>
      <w:tr>
        <w:trPr>
          <w:cantSplit/>
          <w:trHeight w:val="300"/>
        </w:trPr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1485C3"/>
            <w:vMerge/>
          </w:tcPr>
          <w:p>
            <w:r/>
          </w:p>
        </w:tc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EDF0F2"/>
            <w:vMerge/>
          </w:tcPr>
          <w:p>
            <w:r/>
          </w:p>
        </w:tc>
        <w:tc>
          <w:tcPr>
            <w:tcW w:type="dxa" w:w="3420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b w:val="0"/>
                <w:sz w:val="15"/>
              </w:rPr>
              <w:t>Citations and evidence traceability with visible chain of thought</w:t>
            </w:r>
          </w:p>
        </w:tc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  <w:vMerge/>
          </w:tcPr>
          <w:p>
            <w:r/>
          </w:p>
        </w:tc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  <w:vMerge/>
          </w:tcPr>
          <w:p>
            <w:r/>
          </w:p>
        </w:tc>
      </w:tr>
      <w:tr>
        <w:trPr>
          <w:cantSplit/>
          <w:trHeight w:val="300"/>
        </w:trPr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1485C3"/>
            <w:vMerge/>
          </w:tcPr>
          <w:p>
            <w:r/>
          </w:p>
        </w:tc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EDF0F2"/>
            <w:vMerge/>
          </w:tcPr>
          <w:p>
            <w:r/>
          </w:p>
        </w:tc>
        <w:tc>
          <w:tcPr>
            <w:tcW w:type="dxa" w:w="3420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b w:val="0"/>
                <w:sz w:val="15"/>
              </w:rPr>
              <w:t>Human triage of raw inbound before anything is written</w:t>
            </w:r>
          </w:p>
        </w:tc>
        <w:tc>
          <w:tcPr>
            <w:tcW w:type="dxa" w:w="1350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  <w:vMerge w:val="restart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color w:val="AEB4BA"/>
                <w:sz w:val="20"/>
              </w:rPr>
              <w:t>○</w:t>
            </w:r>
          </w:p>
        </w:tc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  <w:vMerge/>
          </w:tcPr>
          <w:p>
            <w:r/>
          </w:p>
        </w:tc>
      </w:tr>
      <w:tr>
        <w:trPr>
          <w:cantSplit/>
          <w:trHeight w:val="300"/>
        </w:trPr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1485C3"/>
            <w:vMerge/>
          </w:tcPr>
          <w:p>
            <w:r/>
          </w:p>
        </w:tc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EDF0F2"/>
            <w:vMerge/>
          </w:tcPr>
          <w:p>
            <w:r/>
          </w:p>
        </w:tc>
        <w:tc>
          <w:tcPr>
            <w:tcW w:type="dxa" w:w="3420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b w:val="0"/>
                <w:sz w:val="15"/>
              </w:rPr>
              <w:t>Reviewer disagreement analysed as a signal against the rule</w:t>
            </w:r>
          </w:p>
        </w:tc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  <w:vMerge/>
          </w:tcPr>
          <w:p>
            <w:r/>
          </w:p>
        </w:tc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  <w:vMerge/>
          </w:tcPr>
          <w:p>
            <w:r/>
          </w:p>
        </w:tc>
      </w:tr>
      <w:tr>
        <w:trPr>
          <w:cantSplit/>
          <w:trHeight w:val="300"/>
        </w:trPr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1485C3"/>
            <w:vMerge/>
          </w:tcPr>
          <w:p>
            <w:r/>
          </w:p>
        </w:tc>
        <w:tc>
          <w:tcPr>
            <w:tcW w:type="dxa" w:w="1978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EDF0F2"/>
            <w:vMerge w:val="restart"/>
          </w:tcPr>
          <w:p>
            <w:pPr>
              <w:spacing w:before="0" w:after="0"/>
            </w:pPr>
            <w:r>
              <w:rPr>
                <w:b w:val="0"/>
                <w:sz w:val="15"/>
              </w:rPr>
              <w:t>Evaluation</w:t>
            </w:r>
          </w:p>
        </w:tc>
        <w:tc>
          <w:tcPr>
            <w:tcW w:type="dxa" w:w="3420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b w:val="0"/>
                <w:sz w:val="15"/>
              </w:rPr>
              <w:t>Evaluation harness — correctness and confidence calibration</w:t>
            </w:r>
          </w:p>
        </w:tc>
        <w:tc>
          <w:tcPr>
            <w:tcW w:type="dxa" w:w="1350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  <w:vMerge w:val="restart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color w:val="1485C3"/>
                <w:sz w:val="20"/>
              </w:rPr>
              <w:t>◐</w:t>
            </w:r>
          </w:p>
        </w:tc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  <w:vMerge/>
          </w:tcPr>
          <w:p>
            <w:r/>
          </w:p>
        </w:tc>
      </w:tr>
      <w:tr>
        <w:trPr>
          <w:cantSplit/>
          <w:trHeight w:val="300"/>
        </w:trPr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1485C3"/>
            <w:vMerge/>
          </w:tcPr>
          <w:p>
            <w:r/>
          </w:p>
        </w:tc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EDF0F2"/>
            <w:vMerge/>
          </w:tcPr>
          <w:p>
            <w:r/>
          </w:p>
        </w:tc>
        <w:tc>
          <w:tcPr>
            <w:tcW w:type="dxa" w:w="3420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b w:val="0"/>
                <w:sz w:val="15"/>
              </w:rPr>
              <w:t>Human-feedback capture as an input</w:t>
            </w:r>
          </w:p>
        </w:tc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  <w:vMerge/>
          </w:tcPr>
          <w:p>
            <w:r/>
          </w:p>
        </w:tc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  <w:vMerge/>
          </w:tcPr>
          <w:p>
            <w:r/>
          </w:p>
        </w:tc>
      </w:tr>
      <w:tr>
        <w:trPr>
          <w:cantSplit/>
          <w:trHeight w:val="300"/>
        </w:trPr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1485C3"/>
            <w:vMerge/>
          </w:tcPr>
          <w:p>
            <w:r/>
          </w:p>
        </w:tc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EDF0F2"/>
            <w:vMerge/>
          </w:tcPr>
          <w:p>
            <w:r/>
          </w:p>
        </w:tc>
        <w:tc>
          <w:tcPr>
            <w:tcW w:type="dxa" w:w="3420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b w:val="0"/>
                <w:sz w:val="15"/>
              </w:rPr>
              <w:t>Feedback-driven tuning — a persisted learning loop</w:t>
            </w:r>
          </w:p>
        </w:tc>
        <w:tc>
          <w:tcPr>
            <w:tcW w:type="dxa" w:w="1350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  <w:vMerge w:val="restart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color w:val="AEB4BA"/>
                <w:sz w:val="20"/>
              </w:rPr>
              <w:t>○</w:t>
            </w:r>
          </w:p>
        </w:tc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  <w:vMerge/>
          </w:tcPr>
          <w:p>
            <w:r/>
          </w:p>
        </w:tc>
      </w:tr>
      <w:tr>
        <w:trPr>
          <w:cantSplit/>
          <w:trHeight w:val="300"/>
        </w:trPr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1485C3"/>
            <w:vMerge/>
          </w:tcPr>
          <w:p>
            <w:r/>
          </w:p>
        </w:tc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EDF0F2"/>
            <w:vMerge/>
          </w:tcPr>
          <w:p>
            <w:r/>
          </w:p>
        </w:tc>
        <w:tc>
          <w:tcPr>
            <w:tcW w:type="dxa" w:w="3420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b w:val="0"/>
                <w:sz w:val="15"/>
              </w:rPr>
              <w:t>Negative assertion — "screened</w:t>
            </w:r>
          </w:p>
        </w:tc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  <w:vMerge/>
          </w:tcPr>
          <w:p>
            <w:r/>
          </w:p>
        </w:tc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  <w:vMerge/>
          </w:tcPr>
          <w:p>
            <w:r/>
          </w:p>
        </w:tc>
      </w:tr>
      <w:tr>
        <w:trPr>
          <w:cantSplit/>
          <w:trHeight w:val="300"/>
        </w:trPr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1485C3"/>
            <w:vMerge/>
          </w:tcPr>
          <w:p>
            <w:r/>
          </w:p>
        </w:tc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EDF0F2"/>
            <w:vMerge/>
          </w:tcPr>
          <w:p>
            <w:r/>
          </w:p>
        </w:tc>
        <w:tc>
          <w:tcPr>
            <w:tcW w:type="dxa" w:w="3420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b w:val="0"/>
                <w:sz w:val="15"/>
              </w:rPr>
              <w:t>Point-in-time replay of a past record on the evidence that existed then</w:t>
            </w:r>
          </w:p>
        </w:tc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  <w:vMerge/>
          </w:tcPr>
          <w:p>
            <w:r/>
          </w:p>
        </w:tc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  <w:vMerge/>
          </w:tcPr>
          <w:p>
            <w:r/>
          </w:p>
        </w:tc>
      </w:tr>
      <w:tr>
        <w:trPr>
          <w:cantSplit/>
          <w:trHeight w:val="300"/>
        </w:trPr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1485C3"/>
            <w:vMerge/>
          </w:tcPr>
          <w:p>
            <w:r/>
          </w:p>
        </w:tc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EDF0F2"/>
            <w:vMerge/>
          </w:tcPr>
          <w:p>
            <w:r/>
          </w:p>
        </w:tc>
        <w:tc>
          <w:tcPr>
            <w:tcW w:type="dxa" w:w="3420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b w:val="0"/>
                <w:sz w:val="15"/>
              </w:rPr>
              <w:t>Retraction re-checking against source publication status</w:t>
            </w:r>
          </w:p>
        </w:tc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  <w:vMerge/>
          </w:tcPr>
          <w:p>
            <w:r/>
          </w:p>
        </w:tc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  <w:vMerge/>
          </w:tcPr>
          <w:p>
            <w:r/>
          </w:p>
        </w:tc>
      </w:tr>
      <w:tr>
        <w:trPr>
          <w:cantSplit/>
          <w:trHeight w:val="300"/>
        </w:trPr>
        <w:tc>
          <w:tcPr>
            <w:tcW w:type="dxa" w:w="1077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1485C3"/>
            <w:vMerge w:val="restart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Output &amp; delivery</w:t>
            </w:r>
          </w:p>
        </w:tc>
        <w:tc>
          <w:tcPr>
            <w:tcW w:type="dxa" w:w="1978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EDF0F2"/>
            <w:vMerge w:val="restart"/>
          </w:tcPr>
          <w:p>
            <w:pPr>
              <w:spacing w:before="0" w:after="0"/>
            </w:pPr>
            <w:r>
              <w:rPr>
                <w:b w:val="0"/>
                <w:sz w:val="15"/>
              </w:rPr>
              <w:t>The record</w:t>
            </w:r>
          </w:p>
        </w:tc>
        <w:tc>
          <w:tcPr>
            <w:tcW w:type="dxa" w:w="3420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b w:val="0"/>
                <w:sz w:val="15"/>
              </w:rPr>
              <w:t>Structured per-account record — account</w:t>
            </w:r>
          </w:p>
        </w:tc>
        <w:tc>
          <w:tcPr>
            <w:tcW w:type="dxa" w:w="1350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  <w:vMerge w:val="restart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color w:val="1485C3"/>
                <w:sz w:val="20"/>
              </w:rPr>
              <w:t>◐</w:t>
            </w:r>
          </w:p>
        </w:tc>
        <w:tc>
          <w:tcPr>
            <w:tcW w:type="dxa" w:w="2425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  <w:vMerge w:val="restart"/>
          </w:tcPr>
          <w:p>
            <w:pPr>
              <w:pStyle w:val="ListBullet"/>
              <w:spacing w:before="0" w:after="0"/>
              <w:ind w:left="159"/>
            </w:pPr>
            <w:r/>
            <w:r>
              <w:rPr>
                <w:sz w:val="15"/>
              </w:rPr>
              <w:t>Output schema per client · Integration configuration per target system · Routing and ownership rules</w:t>
            </w:r>
          </w:p>
        </w:tc>
      </w:tr>
      <w:tr>
        <w:trPr>
          <w:cantSplit/>
          <w:trHeight w:val="300"/>
        </w:trPr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1485C3"/>
            <w:vMerge/>
          </w:tcPr>
          <w:p>
            <w:r/>
          </w:p>
        </w:tc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EDF0F2"/>
            <w:vMerge/>
          </w:tcPr>
          <w:p>
            <w:r/>
          </w:p>
        </w:tc>
        <w:tc>
          <w:tcPr>
            <w:tcW w:type="dxa" w:w="3420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b w:val="0"/>
                <w:sz w:val="15"/>
              </w:rPr>
              <w:t>Narrative briefing and discussion guide as an alternative output contract</w:t>
            </w:r>
          </w:p>
        </w:tc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  <w:vMerge/>
          </w:tcPr>
          <w:p>
            <w:r/>
          </w:p>
        </w:tc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  <w:vMerge/>
          </w:tcPr>
          <w:p>
            <w:r/>
          </w:p>
        </w:tc>
      </w:tr>
      <w:tr>
        <w:trPr>
          <w:cantSplit/>
          <w:trHeight w:val="300"/>
        </w:trPr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1485C3"/>
            <w:vMerge/>
          </w:tcPr>
          <w:p>
            <w:r/>
          </w:p>
        </w:tc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EDF0F2"/>
            <w:vMerge/>
          </w:tcPr>
          <w:p>
            <w:r/>
          </w:p>
        </w:tc>
        <w:tc>
          <w:tcPr>
            <w:tcW w:type="dxa" w:w="3420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b w:val="0"/>
                <w:sz w:val="15"/>
              </w:rPr>
              <w:t>Confidence threshold filtering low-confidence items</w:t>
            </w:r>
          </w:p>
        </w:tc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  <w:vMerge/>
          </w:tcPr>
          <w:p>
            <w:r/>
          </w:p>
        </w:tc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  <w:vMerge/>
          </w:tcPr>
          <w:p>
            <w:r/>
          </w:p>
        </w:tc>
      </w:tr>
      <w:tr>
        <w:trPr>
          <w:cantSplit/>
          <w:trHeight w:val="300"/>
        </w:trPr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1485C3"/>
            <w:vMerge/>
          </w:tcPr>
          <w:p>
            <w:r/>
          </w:p>
        </w:tc>
        <w:tc>
          <w:tcPr>
            <w:tcW w:type="dxa" w:w="1978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EDF0F2"/>
            <w:vMerge w:val="restart"/>
          </w:tcPr>
          <w:p>
            <w:pPr>
              <w:spacing w:before="0" w:after="0"/>
            </w:pPr>
            <w:r>
              <w:rPr>
                <w:b w:val="0"/>
                <w:sz w:val="15"/>
              </w:rPr>
              <w:t>Delivery</w:t>
            </w:r>
          </w:p>
        </w:tc>
        <w:tc>
          <w:tcPr>
            <w:tcW w:type="dxa" w:w="3420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b w:val="0"/>
                <w:sz w:val="15"/>
              </w:rPr>
              <w:t>Export to the client's sales system</w:t>
            </w:r>
          </w:p>
        </w:tc>
        <w:tc>
          <w:tcPr>
            <w:tcW w:type="dxa" w:w="1350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color w:val="1485C3"/>
                <w:sz w:val="20"/>
              </w:rPr>
              <w:t>◐</w:t>
            </w:r>
          </w:p>
        </w:tc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  <w:vMerge/>
          </w:tcPr>
          <w:p>
            <w:r/>
          </w:p>
        </w:tc>
      </w:tr>
      <w:tr>
        <w:trPr>
          <w:cantSplit/>
          <w:trHeight w:val="300"/>
        </w:trPr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1485C3"/>
            <w:vMerge/>
          </w:tcPr>
          <w:p>
            <w:r/>
          </w:p>
        </w:tc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EDF0F2"/>
            <w:vMerge/>
          </w:tcPr>
          <w:p>
            <w:r/>
          </w:p>
        </w:tc>
        <w:tc>
          <w:tcPr>
            <w:tcW w:type="dxa" w:w="3420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b w:val="0"/>
                <w:sz w:val="15"/>
              </w:rPr>
              <w:t>Routing to the named owner of that account</w:t>
            </w:r>
          </w:p>
        </w:tc>
        <w:tc>
          <w:tcPr>
            <w:tcW w:type="dxa" w:w="1350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  <w:vMerge w:val="restart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color w:val="AEB4BA"/>
                <w:sz w:val="20"/>
              </w:rPr>
              <w:t>○</w:t>
            </w:r>
          </w:p>
        </w:tc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  <w:vMerge/>
          </w:tcPr>
          <w:p>
            <w:r/>
          </w:p>
        </w:tc>
      </w:tr>
      <w:tr>
        <w:trPr>
          <w:cantSplit/>
          <w:trHeight w:val="300"/>
        </w:trPr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1485C3"/>
            <w:vMerge/>
          </w:tcPr>
          <w:p>
            <w:r/>
          </w:p>
        </w:tc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EDF0F2"/>
            <w:vMerge/>
          </w:tcPr>
          <w:p>
            <w:r/>
          </w:p>
        </w:tc>
        <w:tc>
          <w:tcPr>
            <w:tcW w:type="dxa" w:w="3420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b w:val="0"/>
                <w:sz w:val="15"/>
              </w:rPr>
              <w:t>Live write-back with idempotency and dedupe-on-write</w:t>
            </w:r>
          </w:p>
        </w:tc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  <w:vMerge/>
          </w:tcPr>
          <w:p>
            <w:r/>
          </w:p>
        </w:tc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  <w:vMerge/>
          </w:tcPr>
          <w:p>
            <w:r/>
          </w:p>
        </w:tc>
      </w:tr>
      <w:tr>
        <w:trPr>
          <w:cantSplit/>
          <w:trHeight w:val="300"/>
        </w:trPr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1485C3"/>
            <w:vMerge/>
          </w:tcPr>
          <w:p>
            <w:r/>
          </w:p>
        </w:tc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EDF0F2"/>
            <w:vMerge/>
          </w:tcPr>
          <w:p>
            <w:r/>
          </w:p>
        </w:tc>
        <w:tc>
          <w:tcPr>
            <w:tcW w:type="dxa" w:w="3420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b w:val="0"/>
                <w:sz w:val="15"/>
              </w:rPr>
              <w:t>Outcome capture — pursued · won · lost · false positive — fed back to scoring</w:t>
            </w:r>
          </w:p>
        </w:tc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  <w:vMerge/>
          </w:tcPr>
          <w:p>
            <w:r/>
          </w:p>
        </w:tc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  <w:vMerge/>
          </w:tcPr>
          <w:p>
            <w:r/>
          </w:p>
        </w:tc>
      </w:tr>
      <w:tr>
        <w:trPr>
          <w:cantSplit/>
          <w:trHeight w:val="300"/>
        </w:trPr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1485C3"/>
            <w:vMerge/>
          </w:tcPr>
          <w:p>
            <w:r/>
          </w:p>
        </w:tc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EDF0F2"/>
            <w:vMerge/>
          </w:tcPr>
          <w:p>
            <w:r/>
          </w:p>
        </w:tc>
        <w:tc>
          <w:tcPr>
            <w:tcW w:type="dxa" w:w="3420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b w:val="0"/>
                <w:sz w:val="15"/>
              </w:rPr>
              <w:t>Acting on opportunities — auto-outreach</w:t>
            </w:r>
          </w:p>
        </w:tc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  <w:vMerge/>
          </w:tcPr>
          <w:p>
            <w:r/>
          </w:p>
        </w:tc>
        <w:tc>
          <w:tcPr>
            <w:tcW w:type="dxa" w:w="2084"/>
            <w:vAlign w:val="center"/>
            <w:tcMar>
              <w:top w:w="16" w:type="dxa"/>
              <w:left w:w="80" w:type="dxa"/>
              <w:bottom w:w="16" w:type="dxa"/>
              <w:right w:w="65" w:type="dxa"/>
            </w:tcMar>
            <w:shd w:val="clear" w:color="auto" w:fill="FFFFFF"/>
            <w:vMerge/>
          </w:tcPr>
          <w:p>
            <w:r/>
          </w:p>
        </w:tc>
      </w:tr>
    </w:tbl>
    <w:p>
      <w:pPr>
        <w:spacing w:before="84" w:after="16"/>
      </w:pPr>
      <w:r>
        <w:rPr>
          <w:b/>
          <w:color w:val="6B7076"/>
          <w:sz w:val="14"/>
        </w:rPr>
        <w:t>Current status</w:t>
      </w:r>
    </w:p>
    <w:p>
      <w:pPr>
        <w:spacing w:before="0" w:after="16" w:line="240" w:lineRule="auto"/>
      </w:pPr>
      <w:r>
        <w:rPr>
          <w:color w:val="1485C3"/>
          <w:sz w:val="18"/>
        </w:rPr>
        <w:t>●</w:t>
      </w:r>
      <w:r>
        <w:rPr>
          <w:sz w:val="14"/>
        </w:rPr>
        <w:t xml:space="preserve">  –  available: provided out of the box, configuration may be required</w:t>
      </w:r>
    </w:p>
    <w:p>
      <w:pPr>
        <w:spacing w:before="0" w:after="16" w:line="240" w:lineRule="auto"/>
      </w:pPr>
      <w:r>
        <w:rPr>
          <w:color w:val="1485C3"/>
          <w:sz w:val="18"/>
        </w:rPr>
        <w:t>◐</w:t>
      </w:r>
      <w:r>
        <w:rPr>
          <w:sz w:val="14"/>
        </w:rPr>
        <w:t xml:space="preserve">  –  partial: partially implemented, major improvements on the roadmap</w:t>
      </w:r>
    </w:p>
    <w:p>
      <w:pPr>
        <w:spacing w:before="0" w:after="16" w:line="240" w:lineRule="auto"/>
      </w:pPr>
      <w:r>
        <w:rPr>
          <w:color w:val="AEB4BA"/>
          <w:sz w:val="18"/>
        </w:rPr>
        <w:t>○</w:t>
      </w:r>
      <w:r>
        <w:rPr>
          <w:sz w:val="14"/>
        </w:rPr>
        <w:t xml:space="preserve">  –  roadmap: planned, not implemented today</w:t>
      </w:r>
    </w:p>
    <w:sectPr w:rsidR="00FC693F" w:rsidRPr="0006063C" w:rsidSect="00034616">
      <w:footerReference w:type="default" r:id="rId9"/>
      <w:pgSz w:w="11906" w:h="16838"/>
      <w:pgMar w:top="567" w:right="743" w:bottom="420" w:left="74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B7076"/>
        <w:sz w:val="13"/>
      </w:rPr>
      <w:t>Account Insights · feature list · spec v1 · generated 2026-09-22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 w:eastAsia="Arial" w:cs="Arial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