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780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1440"/>
        <w:gridCol w:w="6360"/>
      </w:tblGrid>
      <w:tr>
        <w:trPr>
          <w:cantSplit/>
          <w:trHeight w:val="1"/>
        </w:trPr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76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914400" cy="1562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ftserve-wordmark-in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562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60"/>
            <w:vAlign w:val="center"/>
            <w:tcMar>
              <w:top w:w="0" w:type="dxa"/>
              <w:left w:w="360" w:type="dxa"/>
              <w:bottom w:w="0" w:type="dxa"/>
              <w:right w:w="0" w:type="dxa"/>
            </w:tcMar>
          </w:tcPr>
          <w:p>
            <w:pPr>
              <w:spacing w:before="0" w:after="0" w:line="276" w:lineRule="auto"/>
              <w:pBdr>
                <w:left w:val="single" w:sz="6" w:space="9" w:color="BDCBD7"/>
              </w:pBdr>
            </w:pPr>
            <w:r>
              <w:rPr>
                <w:rFonts w:ascii="Replica LL TT" w:hAnsi="Replica LL TT" w:eastAsia="Replica LL TT" w:cs="Replica LL TT"/>
                <w:b w:val="0"/>
                <w:color w:val="000000"/>
                <w:sz w:val="24"/>
              </w:rPr>
              <w:t>Oracle AI &amp; Data Solutions</w:t>
            </w:r>
          </w:p>
        </w:tc>
      </w:tr>
    </w:tbl>
    <w:p>
      <w:pPr>
        <w:spacing w:before="140" w:after="60" w:line="276" w:lineRule="auto"/>
        <w:pBdr>
          <w:bottom w:val="single" w:sz="6" w:space="4" w:color="D1DAE2"/>
        </w:pBdr>
      </w:pPr>
      <w:r>
        <w:rPr>
          <w:rFonts w:ascii="Azurio" w:hAnsi="Azurio" w:eastAsia="Azurio" w:cs="Azurio"/>
          <w:b w:val="0"/>
          <w:color w:val="000000"/>
          <w:sz w:val="40"/>
        </w:rPr>
        <w:t>Account Insights — Feature list</w:t>
      </w:r>
    </w:p>
    <w:p>
      <w:pPr>
        <w:spacing w:before="100" w:after="30" w:line="276" w:lineRule="auto"/>
      </w:pPr>
      <w:r>
        <w:rPr>
          <w:rFonts w:ascii="Replica LL TT" w:hAnsi="Replica LL TT" w:eastAsia="Replica LL TT" w:cs="Replica LL TT"/>
          <w:b w:val="0"/>
          <w:color w:val="26292B"/>
          <w:sz w:val="18"/>
        </w:rPr>
        <w:t>More opportunities from the companies you already track: the news, filings and updates on them become a named next move for each — scored, cited and reviewed before anything reaches your systems.</w:t>
      </w:r>
    </w:p>
    <w:p>
      <w:pPr>
        <w:spacing w:before="0" w:after="80" w:line="276" w:lineRule="auto"/>
      </w:pPr>
      <w:r>
        <w:rPr>
          <w:rFonts w:ascii="Replica LL TT" w:hAnsi="Replica LL TT" w:eastAsia="Replica LL TT" w:cs="Replica LL TT"/>
          <w:b w:val="0"/>
          <w:color w:val="4C5156"/>
          <w:sz w:val="16"/>
        </w:rPr>
        <w:t>For any team responsible for a named set of companies it has to stay current on — the accounts it sells to, the partners it develops, or the companies in its portfolio.</w:t>
      </w:r>
    </w:p>
    <w:tbl>
      <w:tblPr>
        <w:tblW w:type="dxa" w:w="10250"/>
        <w:tblLook w:firstColumn="1" w:firstRow="1" w:lastColumn="0" w:lastRow="0" w:noHBand="0" w:noVBand="1" w:val="04A0"/>
        <w:tblBorders>
          <w:top w:val="single" w:sz="4" w:space="0" w:color="D1DAE2"/>
          <w:left w:val="single" w:sz="4" w:space="0" w:color="D1DAE2"/>
          <w:bottom w:val="single" w:sz="4" w:space="0" w:color="D1DAE2"/>
          <w:right w:val="single" w:sz="4" w:space="0" w:color="D1DAE2"/>
          <w:insideH w:val="single" w:sz="4" w:space="0" w:color="D1DAE2"/>
          <w:insideV w:val="single" w:sz="4" w:space="0" w:color="D1DAE2"/>
        </w:tblBorders>
        <w:tblLayout w:type="fixed"/>
        <w:tblCellMar>
          <w:left w:w="10" w:type="dxa"/>
          <w:right w:w="10" w:type="dxa"/>
        </w:tblCellMar>
      </w:tblPr>
      <w:tblGrid>
        <w:gridCol w:w="1077"/>
        <w:gridCol w:w="1978"/>
        <w:gridCol w:w="3420"/>
        <w:gridCol w:w="1350"/>
        <w:gridCol w:w="2425"/>
      </w:tblGrid>
      <w:tr>
        <w:trPr>
          <w:cantSplit/>
          <w:trHeight w:val="300"/>
        </w:trPr>
        <w:tc>
          <w:tcPr>
            <w:tcW w:type="dxa" w:w="1077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1978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3420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Features</w:t>
            </w:r>
          </w:p>
        </w:tc>
        <w:tc>
          <w:tcPr>
            <w:tcW w:type="dxa" w:w="1350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Current status</w:t>
            </w:r>
          </w:p>
        </w:tc>
        <w:tc>
          <w:tcPr>
            <w:tcW w:type="dxa" w:w="2425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Standard customization scope</w:t>
            </w:r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Account universe &amp; grounding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The account universe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Account universe — the in-scope companies, their tiering, the relationship framing from the system of record*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rFonts w:ascii="Replica LL TT" w:hAnsi="Replica LL TT" w:eastAsia="Replica LL TT" w:cs="Replica LL TT"/>
                <w:b w:val="0"/>
                <w:sz w:val="15"/>
              </w:rPr>
              <w:t>In-scope account list definition · System-of-record field mapping and account-framing extraction · Per-client catalog-of-moves capture · Signal-source selection and licensing review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Sources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Signal sources — news, filings, disclosures, commercial feeds, EDGAR and IR pages**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Catalog of moves captured from the organization's own material — service lines, partnership offers, value levers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Grounding roadmap — legal-entity grouping, source-licensing gate, native multilingual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7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Signal intake &amp; normalization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Trigger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Trigger — scheduled scan, manual submit, on demand for one account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rFonts w:ascii="Replica LL TT" w:hAnsi="Replica LL TT" w:eastAsia="Replica LL TT" w:cs="Replica LL TT"/>
                <w:b w:val="0"/>
                <w:sz w:val="15"/>
              </w:rPr>
              <w:t>Relevance rules and thresholds per client · Account-matching rules · Cadence and source configuration · Signal-type catalog definition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Standing subscription — recurrence, deadline-bound triggers, what changed since last time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7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Normalization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Normalization — genuine, de-duplicated, resolved to the accounts affected, one record each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Provenance class — filing · disclosure · reported · rumour · model output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7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Implication reasoning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Evidence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Evidence assembly and ranking across first-party and public sources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7"/>
              </w:rPr>
              <w:t>●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rFonts w:ascii="Replica LL TT" w:hAnsi="Replica LL TT" w:eastAsia="Replica LL TT" w:cs="Replica LL TT"/>
                <w:b w:val="0"/>
                <w:sz w:val="15"/>
              </w:rPr>
              <w:t>Reasoning prompts per domain · Ripple rules per domain · Client catalog of moves and mapping logic · Scoring rubric and thresholds per client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Evidence and reasoning safeguards — the evidence set shown, contradictions surfaced, conclusions checked, opportunity and risk routed separately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7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The implication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Opportunity and risk reasoning — the "so what" per account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Catalog mapping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Opportunity mapped to a named move the organization can actually make — a service line, a partnership offer, a value lever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Catalog flexibility — a configurable mapping target, and "mapped to nothing" emitted as a demand-gap stream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7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Ripple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Cross-account ripple, descriptive, up to two levels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Ripple at scale — a licensed relationship graph, portfolio-level aggregation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7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Scoring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Magnitude and confidence scored 0–10 per item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Scoring maturity — confidence calibrated on realized outcomes, cost-aware ranking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7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Review &amp; evidence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The reviewer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Reviewer UI with cited evidence and visible reasoning — approve / reject with a comment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7"/>
              </w:rPr>
              <w:t>●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rFonts w:ascii="Replica LL TT" w:hAnsi="Replica LL TT" w:eastAsia="Replica LL TT" w:cs="Replica LL TT"/>
                <w:b w:val="0"/>
                <w:sz w:val="15"/>
              </w:rPr>
              <w:t>Reviewer layout and workflow configuration · Evaluation set and rubric per client · Feedback fields per workflow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Reviewer workbench — triage before anything is written; disagreement analysed as a signal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7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Evaluation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Evaluation — correctness and calibration harness, reviewer feedback captured as input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Evidence integrity — point-in-time replay, negative assertion, retraction re-check, feedback-driven tuning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7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Output &amp; delivery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The record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Output — a structured per-account record or a narrative briefing, filtered by confidence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rFonts w:ascii="Replica LL TT" w:hAnsi="Replica LL TT" w:eastAsia="Replica LL TT" w:cs="Replica LL TT"/>
                <w:b w:val="0"/>
                <w:sz w:val="15"/>
              </w:rPr>
              <w:t>Output schema per client · Integration configuration per target system · Routing and ownership rules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Delivery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Export to the team's system of record — CRM, deal pipeline or portfolio tracker***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1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Downstream maturity — routing to the account owner, live write-back, outcome capture, and eventually acting on opportunities****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7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</w:tbl>
    <w:p>
      <w:pPr>
        <w:spacing w:before="90" w:after="0" w:line="276" w:lineRule="auto"/>
      </w:pPr>
      <w:r>
        <w:rPr>
          <w:rFonts w:ascii="Replica LL TT" w:hAnsi="Replica LL TT" w:eastAsia="Replica LL TT" w:cs="Replica LL TT"/>
          <w:b w:val="0"/>
          <w:color w:val="1485C3"/>
          <w:sz w:val="20"/>
        </w:rPr>
        <w:t>●</w:t>
      </w:r>
      <w:r>
        <w:rPr>
          <w:rFonts w:ascii="Replica LL TT" w:hAnsi="Replica LL TT" w:eastAsia="Replica LL TT" w:cs="Replica LL TT"/>
          <w:b w:val="0"/>
          <w:color w:val="4C5156"/>
          <w:sz w:val="14"/>
        </w:rPr>
        <w:t xml:space="preserve"> available — provided out of the box, configuration may be required</w:t>
      </w:r>
      <w:r>
        <w:rPr>
          <w:rFonts w:ascii="Replica LL TT" w:hAnsi="Replica LL TT" w:eastAsia="Replica LL TT" w:cs="Replica LL TT"/>
          <w:b w:val="0"/>
          <w:color w:val="4C5156"/>
          <w:sz w:val="14"/>
        </w:rPr>
        <w:t xml:space="preserve"> · </w:t>
      </w:r>
      <w:r>
        <w:rPr>
          <w:rFonts w:ascii="Replica LL TT" w:hAnsi="Replica LL TT" w:eastAsia="Replica LL TT" w:cs="Replica LL TT"/>
          <w:b w:val="0"/>
          <w:color w:val="1485C3"/>
          <w:sz w:val="16"/>
        </w:rPr>
        <w:t>◐</w:t>
      </w:r>
      <w:r>
        <w:rPr>
          <w:rFonts w:ascii="Replica LL TT" w:hAnsi="Replica LL TT" w:eastAsia="Replica LL TT" w:cs="Replica LL TT"/>
          <w:b w:val="0"/>
          <w:color w:val="4C5156"/>
          <w:sz w:val="14"/>
        </w:rPr>
        <w:t xml:space="preserve"> partial — partially implemented, major improvements on the roadmap</w:t>
      </w:r>
      <w:r>
        <w:rPr>
          <w:rFonts w:ascii="Replica LL TT" w:hAnsi="Replica LL TT" w:eastAsia="Replica LL TT" w:cs="Replica LL TT"/>
          <w:b w:val="0"/>
          <w:color w:val="4C5156"/>
          <w:sz w:val="14"/>
        </w:rPr>
        <w:t xml:space="preserve"> · </w:t>
      </w:r>
      <w:r>
        <w:rPr>
          <w:rFonts w:ascii="Replica LL TT" w:hAnsi="Replica LL TT" w:eastAsia="Replica LL TT" w:cs="Replica LL TT"/>
          <w:b w:val="0"/>
          <w:color w:val="AEB4BA"/>
          <w:sz w:val="20"/>
        </w:rPr>
        <w:t>○</w:t>
      </w:r>
      <w:r>
        <w:rPr>
          <w:rFonts w:ascii="Replica LL TT" w:hAnsi="Replica LL TT" w:eastAsia="Replica LL TT" w:cs="Replica LL TT"/>
          <w:b w:val="0"/>
          <w:color w:val="4C5156"/>
          <w:sz w:val="14"/>
        </w:rPr>
        <w:t xml:space="preserve"> roadmap — planned, not implemented today</w:t>
      </w:r>
    </w:p>
    <w:p>
      <w:pPr>
        <w:spacing w:before="0" w:after="16" w:line="276" w:lineRule="auto"/>
      </w:pPr>
      <w:r>
        <w:rPr>
          <w:rFonts w:ascii="Replica LL TT" w:hAnsi="Replica LL TT" w:eastAsia="Replica LL TT" w:cs="Replica LL TT"/>
          <w:b w:val="0"/>
          <w:color w:val="4C5156"/>
          <w:sz w:val="14"/>
        </w:rPr>
        <w:t>*  Account universe — the in-scope companies, their tiering, the relationship framing from the system of record: An agreed extract from the system of record at PoV Jumpstart; API at Integration</w:t>
      </w:r>
    </w:p>
    <w:p>
      <w:pPr>
        <w:spacing w:before="0" w:after="16" w:line="276" w:lineRule="auto"/>
      </w:pPr>
      <w:r>
        <w:rPr>
          <w:rFonts w:ascii="Replica LL TT" w:hAnsi="Replica LL TT" w:eastAsia="Replica LL TT" w:cs="Replica LL TT"/>
          <w:b w:val="0"/>
          <w:color w:val="4C5156"/>
          <w:sz w:val="14"/>
        </w:rPr>
        <w:t>**  Signal sources — news, filings, disclosures, commercial feeds, EDGAR and IR pages: A bounded, licence-cleared source set at PoV Jumpstart; the client's own licensed feeds at Integration</w:t>
      </w:r>
    </w:p>
    <w:p>
      <w:pPr>
        <w:spacing w:before="0" w:after="16" w:line="276" w:lineRule="auto"/>
      </w:pPr>
      <w:r>
        <w:rPr>
          <w:rFonts w:ascii="Replica LL TT" w:hAnsi="Replica LL TT" w:eastAsia="Replica LL TT" w:cs="Replica LL TT"/>
          <w:b w:val="0"/>
          <w:color w:val="4C5156"/>
          <w:sz w:val="14"/>
        </w:rPr>
        <w:t>***  Export to the team's system of record — CRM, deal pipeline or portfolio tracker: File export at PoV Jumpstart; API export is Integration-tier scope</w:t>
      </w:r>
    </w:p>
    <w:p>
      <w:pPr>
        <w:spacing w:before="0" w:after="16" w:line="276" w:lineRule="auto"/>
      </w:pPr>
      <w:r>
        <w:rPr>
          <w:rFonts w:ascii="Replica LL TT" w:hAnsi="Replica LL TT" w:eastAsia="Replica LL TT" w:cs="Replica LL TT"/>
          <w:b w:val="0"/>
          <w:color w:val="4C5156"/>
          <w:sz w:val="14"/>
        </w:rPr>
        <w:t>****  Downstream maturity — routing to the account owner, live write-back, outcome capture, and eventually acting on opportunities: Integration and Scaling tiers; nothing is written back in the proof of value</w:t>
      </w:r>
    </w:p>
    <w:sectPr w:rsidR="00FC693F" w:rsidRPr="0006063C" w:rsidSect="00034616">
      <w:footerReference w:type="default" r:id="rId10"/>
      <w:pgSz w:w="11906" w:h="16838"/>
      <w:pgMar w:top="567" w:right="743" w:bottom="420" w:left="743" w:header="720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Azurio">
    <w:altName w:val="Georgia"/>
    <w:charset w:val="00"/>
    <w:family w:val="roman"/>
    <w:pitch w:val="variable"/>
  </w:font>
  <w:font w:name="Replica LL TT">
    <w:altName w:val="Arial"/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Replica LL TT" w:hAnsi="Replica LL TT" w:eastAsia="Replica LL TT" w:cs="Replica LL TT"/>
        <w:b w:val="0"/>
        <w:color w:val="4C5156"/>
        <w:sz w:val="13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Replica LL TT" w:hAnsi="Replica LL TT" w:eastAsia="Replica LL TT" w:cs="Replica LL TT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