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line="276" w:lineRule="auto"/>
      </w:pPr>
      <w:r>
        <w:rPr>
          <w:b/>
          <w:color w:val="1485C3"/>
          <w:sz w:val="16"/>
        </w:rPr>
        <w:t>SOFTSERVE × ORACLE</w:t>
      </w:r>
      <w:r>
        <w:rPr>
          <w:color w:val="6B7076"/>
          <w:sz w:val="16"/>
        </w:rPr>
        <w:t xml:space="preserve">   ·   OCI AI ACCELERATORS</w:t>
      </w:r>
    </w:p>
    <w:p>
      <w:pPr>
        <w:spacing w:after="62" w:line="276" w:lineRule="auto"/>
        <w:pBdr>
          <w:bottom w:val="single" w:sz="12" w:space="4" w:color="1485C3"/>
        </w:pBdr>
      </w:pPr>
      <w:r>
        <w:rPr>
          <w:b/>
          <w:sz w:val="32"/>
        </w:rPr>
        <w:t>Account Insights — Feature list</w:t>
      </w:r>
    </w:p>
    <w:p>
      <w:pPr>
        <w:spacing w:before="60" w:after="42" w:line="276" w:lineRule="auto"/>
      </w:pPr>
      <w:r>
        <w:rPr>
          <w:b/>
          <w:color w:val="1485C3"/>
          <w:sz w:val="16"/>
        </w:rPr>
        <w:t xml:space="preserve">App.  </w:t>
      </w:r>
      <w:r>
        <w:rPr>
          <w:sz w:val="16"/>
        </w:rPr>
        <w:t>Turns market events into named opportunities on the accounts you already cover — each mapped to a service you sell, scored and cited for review.</w:t>
      </w:r>
    </w:p>
    <w:tbl>
      <w:tblPr>
        <w:tblW w:type="dxa" w:w="1025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left w:w="10" w:type="dxa"/>
          <w:right w:w="10" w:type="dxa"/>
        </w:tblCellMar>
      </w:tblPr>
      <w:tblGrid>
        <w:gridCol w:w="1077"/>
        <w:gridCol w:w="1978"/>
        <w:gridCol w:w="3420"/>
        <w:gridCol w:w="1350"/>
        <w:gridCol w:w="2425"/>
      </w:tblGrid>
      <w:tr>
        <w:trPr>
          <w:cantSplit/>
          <w:trHeight w:val="300"/>
          <w:tblHeader/>
        </w:trPr>
        <w:tc>
          <w:tcPr>
            <w:tcW w:type="dxa" w:w="1077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78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342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Features</w:t>
            </w:r>
          </w:p>
        </w:tc>
        <w:tc>
          <w:tcPr>
            <w:tcW w:type="dxa" w:w="1350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Current status</w:t>
            </w:r>
          </w:p>
        </w:tc>
        <w:tc>
          <w:tcPr>
            <w:tcW w:type="dxa" w:w="2425"/>
            <w:shd w:val="clear" w:color="auto" w:fill="26282B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5"/>
              </w:rPr>
              <w:t>Standard customization scope</w:t>
            </w:r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Account universe &amp; grounding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The account universe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In-scope account list and tiering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In-scope account list definition · CRM field mapping and account-framing extraction · Per-client service-catalog capture · Signal-source selection and licensing review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Account framing from CRM (the relationship in the client's own words)*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Entity grouping by legal hierarchy rather than name match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Sources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Signal ingestion — news, filings, disclosures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Commercial data feeds**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Public filings via EDGAR and IR pages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Service-line capability catalog from the client's own material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Source-licensing and redistribution-rights gate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Native multilingual processing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Signal intake &amp; normalization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Trigger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Signal-triggered — scheduled scan and manual submit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Relevance rules and thresholds per client · Account-matching rules · Cadence and source configuration · Signal-type catalog definition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Account-triggered — research one account on demand or before a meeting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Recurrence as a standing subscription per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Deadline-bound trigger — emit ahead of a dated instrument with no new signal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Normalization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Relevance filter — is this a genuine signal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De-duplication — one story across many sources becomes one signal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Account resolution — which in-scope accounts a signal affects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Fan-out — one signal, one record per affected account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Delta reasoning — what changed since the last delivered record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Provenance class — filing · disclosure · reported · rumour · model output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Implication reasoning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Evidence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Evidence assembly and ranking across first-party and public sources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Reasoning prompts per domain · Ripple rules per domain · Client catalog and mapping logic · Scoring rubric and thresholds per client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Evidence set shown for review before the reasoning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Contradiction between reliable sources surfaced as a finding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The implication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Opportunity and risk reasoning — the "so what" per account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Dual implication — one signal yields an opportunity and a risk, routed separately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Inference validity — does the conclusion follow from the cited evidence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Catalog mapping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Opportunity mapped to a named service line the client actually sells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Catalog target configurable — offering · lever · mitigation · none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Demand-gap stream — implications that mapped to nothing, emitted as a product-gap feed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Ripple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Cross-account ripple, descriptive, up to two levels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Graph-backed ripple over a licensed relationship graph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Portfolio aggregation — correlated groups evaluated as the unit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Scoring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Magnitude and confidence scored 0-10 per item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Calibrated confidence tested against realized outcomes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Cost-aware ranking under a capacity constraint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Review &amp; evidence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The reviewer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Reviewer UI — opportunities, sources, confidence, approve / reject with comment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●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Reviewer layout and workflow configuration · Evaluation set and rubric per client · Feedback fields per workflow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Citations and evidence traceability with visible chain of thought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Human triage of raw inbound before anything is written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Reviewer disagreement analysed as a signal against the rule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Evaluation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Evaluation harness — correctness and confidence calibration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Human-feedback capture as an input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Feedback-driven tuning — a persisted learning loop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Negative assertion — "screened, nothing found, on date X, against sources Y"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Point-in-time replay of a past record on the evidence that existed then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Retraction re-checking against source publication status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1077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 w:val="restart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Output &amp; delivery</w:t>
            </w:r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The record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Structured per-account record — account, trigger, summary, reasoning, scored opportunities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425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pStyle w:val="ListBullet"/>
              <w:spacing w:before="0" w:after="0"/>
              <w:ind w:left="159"/>
            </w:pPr>
            <w:r/>
            <w:r>
              <w:rPr>
                <w:sz w:val="15"/>
              </w:rPr>
              <w:t>Output schema per client · Integration configuration per target system · Routing and ownership rules</w:t>
            </w:r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Narrative briefing and discussion guide as an alternative output contract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Confidence threshold filtering low-confidence items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1978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 w:val="restart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Delivery</w:t>
            </w:r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Export to the client's sales system***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1485C3"/>
                <w:sz w:val="20"/>
              </w:rPr>
              <w:t>◐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Routing to the named owner of that account****</w:t>
            </w:r>
          </w:p>
        </w:tc>
        <w:tc>
          <w:tcPr>
            <w:tcW w:type="dxa" w:w="135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 w:val="restart"/>
          </w:tcPr>
          <w:p>
            <w:pPr>
              <w:spacing w:before="0" w:after="0" w:line="252" w:lineRule="auto"/>
              <w:jc w:val="center"/>
            </w:pPr>
            <w:r>
              <w:rPr>
                <w:b w:val="0"/>
                <w:color w:val="AEB4BA"/>
                <w:sz w:val="20"/>
              </w:rPr>
              <w:t>○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Live write-back with idempotency and dedupe-on-write*****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Outcome capture — pursued · won · lost · false positive — fed back to scoring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  <w:tr>
        <w:trPr>
          <w:cantSplit/>
          <w:trHeight w:val="300"/>
        </w:trPr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1485C3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EDF0F2"/>
            <w:vMerge/>
          </w:tcPr>
          <w:p>
            <w:r/>
          </w:p>
        </w:tc>
        <w:tc>
          <w:tcPr>
            <w:tcW w:type="dxa" w:w="3420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</w:tcPr>
          <w:p>
            <w:pPr>
              <w:spacing w:before="0" w:after="0"/>
            </w:pPr>
            <w:r>
              <w:rPr>
                <w:b w:val="0"/>
                <w:sz w:val="15"/>
              </w:rPr>
              <w:t>Acting on opportunities — auto-outreach, task creation, workflow automation</w:t>
            </w:r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  <w:tc>
          <w:tcPr>
            <w:tcW w:type="dxa" w:w="2084"/>
            <w:vAlign w:val="center"/>
            <w:tcMar>
              <w:top w:w="16" w:type="dxa"/>
              <w:left w:w="80" w:type="dxa"/>
              <w:bottom w:w="16" w:type="dxa"/>
              <w:right w:w="65" w:type="dxa"/>
            </w:tcMar>
            <w:shd w:val="clear" w:color="auto" w:fill="FFFFFF"/>
            <w:vMerge/>
          </w:tcPr>
          <w:p>
            <w:r/>
          </w:p>
        </w:tc>
      </w:tr>
    </w:tbl>
    <w:p>
      <w:pPr>
        <w:spacing w:before="84" w:after="16"/>
      </w:pPr>
      <w:r>
        <w:rPr>
          <w:b/>
          <w:color w:val="6B7076"/>
          <w:sz w:val="14"/>
        </w:rPr>
        <w:t>Current status</w:t>
      </w:r>
    </w:p>
    <w:p>
      <w:pPr>
        <w:spacing w:before="0" w:after="16" w:line="240" w:lineRule="auto"/>
      </w:pPr>
      <w:r>
        <w:rPr>
          <w:color w:val="1485C3"/>
          <w:sz w:val="18"/>
        </w:rPr>
        <w:t>●</w:t>
      </w:r>
      <w:r>
        <w:rPr>
          <w:sz w:val="14"/>
        </w:rPr>
        <w:t xml:space="preserve">  –  available: provided out of the box, configuration may be required</w:t>
      </w:r>
    </w:p>
    <w:p>
      <w:pPr>
        <w:spacing w:before="0" w:after="16" w:line="240" w:lineRule="auto"/>
      </w:pPr>
      <w:r>
        <w:rPr>
          <w:color w:val="1485C3"/>
          <w:sz w:val="18"/>
        </w:rPr>
        <w:t>◐</w:t>
      </w:r>
      <w:r>
        <w:rPr>
          <w:sz w:val="14"/>
        </w:rPr>
        <w:t xml:space="preserve">  –  partial: partially implemented, major improvements on the roadmap</w:t>
      </w:r>
    </w:p>
    <w:p>
      <w:pPr>
        <w:spacing w:before="0" w:after="16" w:line="240" w:lineRule="auto"/>
      </w:pPr>
      <w:r>
        <w:rPr>
          <w:color w:val="AEB4BA"/>
          <w:sz w:val="18"/>
        </w:rPr>
        <w:t>○</w:t>
      </w:r>
      <w:r>
        <w:rPr>
          <w:sz w:val="14"/>
        </w:rPr>
        <w:t xml:space="preserve">  –  roadmap: planned, not implemented today</w:t>
      </w:r>
    </w:p>
    <w:p>
      <w:pPr>
        <w:spacing w:before="0" w:after="16"/>
      </w:pPr>
      <w:r>
        <w:rPr>
          <w:color w:val="6B7076"/>
          <w:sz w:val="14"/>
        </w:rPr>
        <w:t>*  Account framing from CRM (the relationship in the client's own words): An agreed CRM extract at PoV Jumpstart; API at Integration</w:t>
      </w:r>
    </w:p>
    <w:p>
      <w:pPr>
        <w:spacing w:before="0" w:after="16"/>
      </w:pPr>
      <w:r>
        <w:rPr>
          <w:color w:val="6B7076"/>
          <w:sz w:val="14"/>
        </w:rPr>
        <w:t>**  Commercial data feeds: A bounded, licence-cleared source set at PoV Jumpstart; the client's own licensed feeds at Integration</w:t>
      </w:r>
    </w:p>
    <w:p>
      <w:pPr>
        <w:spacing w:before="0" w:after="16"/>
      </w:pPr>
      <w:r>
        <w:rPr>
          <w:color w:val="6B7076"/>
          <w:sz w:val="14"/>
        </w:rPr>
        <w:t>***  Export to the client's sales system: File export at PoV Jumpstart; API export is Integration-tier scope</w:t>
      </w:r>
    </w:p>
    <w:p>
      <w:pPr>
        <w:spacing w:before="0" w:after="16"/>
      </w:pPr>
      <w:r>
        <w:rPr>
          <w:color w:val="6B7076"/>
          <w:sz w:val="14"/>
        </w:rPr>
        <w:t>****  Routing to the named owner of that account: Integration-tier scope; not in the proof of value</w:t>
      </w:r>
    </w:p>
    <w:p>
      <w:pPr>
        <w:spacing w:before="0" w:after="16"/>
      </w:pPr>
      <w:r>
        <w:rPr>
          <w:color w:val="6B7076"/>
          <w:sz w:val="14"/>
        </w:rPr>
        <w:t>*****  Live write-back with idempotency and dedupe-on-write: Scaling-tier scope; nothing is written back in the proof of value — reviewer decisions are captured, not persisted</w:t>
      </w:r>
    </w:p>
    <w:sectPr w:rsidR="00FC693F" w:rsidRPr="0006063C" w:rsidSect="00034616">
      <w:footerReference w:type="default" r:id="rId9"/>
      <w:pgSz w:w="11906" w:h="16838"/>
      <w:pgMar w:top="567" w:right="743" w:bottom="420" w:left="74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076"/>
        <w:sz w:val="13"/>
      </w:rPr>
      <w:t>Account Insights · feature list · spec v1 · generated 2026-09-22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Arial" w:cs="Arial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