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780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440"/>
        <w:gridCol w:w="6360"/>
      </w:tblGrid>
      <w:tr>
        <w:trPr>
          <w:cantSplit/>
          <w:trHeight w:val="1"/>
        </w:trPr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914400" cy="1562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ftserve-wordmark-in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562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60"/>
            <w:vAlign w:val="center"/>
            <w:tcMar>
              <w:top w:w="0" w:type="dxa"/>
              <w:left w:w="360" w:type="dxa"/>
              <w:bottom w:w="0" w:type="dxa"/>
              <w:right w:w="0" w:type="dxa"/>
            </w:tcMar>
          </w:tcPr>
          <w:p>
            <w:pPr>
              <w:spacing w:before="0" w:after="0" w:line="276" w:lineRule="auto"/>
              <w:pBdr>
                <w:left w:val="single" w:sz="6" w:space="9" w:color="BDCBD7"/>
              </w:pBdr>
            </w:pPr>
            <w:r>
              <w:rPr>
                <w:rFonts w:ascii="Replica LL TT" w:hAnsi="Replica LL TT" w:eastAsia="Replica LL TT" w:cs="Replica LL TT"/>
                <w:b w:val="0"/>
                <w:color w:val="000000"/>
                <w:sz w:val="24"/>
              </w:rPr>
              <w:t>Oracle AI &amp; Data Solutions</w:t>
            </w:r>
          </w:p>
        </w:tc>
      </w:tr>
    </w:tbl>
    <w:p>
      <w:pPr>
        <w:spacing w:before="140" w:after="60" w:line="276" w:lineRule="auto"/>
        <w:pBdr>
          <w:bottom w:val="single" w:sz="6" w:space="4" w:color="D1DAE2"/>
        </w:pBdr>
      </w:pPr>
      <w:r>
        <w:rPr>
          <w:rFonts w:ascii="Azurio" w:hAnsi="Azurio" w:eastAsia="Azurio" w:cs="Azurio"/>
          <w:b w:val="0"/>
          <w:color w:val="000000"/>
          <w:sz w:val="40"/>
        </w:rPr>
        <w:t>Account Insights — Feature list</w:t>
      </w:r>
    </w:p>
    <w:p>
      <w:pPr>
        <w:spacing w:before="100" w:after="30" w:line="276" w:lineRule="auto"/>
      </w:pPr>
      <w:r>
        <w:rPr>
          <w:rFonts w:ascii="Replica LL TT" w:hAnsi="Replica LL TT" w:eastAsia="Replica LL TT" w:cs="Replica LL TT"/>
          <w:b w:val="0"/>
          <w:color w:val="26292B"/>
          <w:sz w:val="18"/>
        </w:rPr>
        <w:t>More opportunities from the companies you already track: the news, filings and updates on them become a named next move for each — scored, cited and reviewed before anything reaches your systems.</w:t>
      </w:r>
    </w:p>
    <w:p>
      <w:pPr>
        <w:spacing w:before="0" w:after="80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6"/>
        </w:rPr>
        <w:t>For any team responsible for a named set of companies it has to stay current on — the accounts it sells to, the partners it develops, or the companies in its portfolio.</w:t>
      </w:r>
    </w:p>
    <w:tbl>
      <w:tblPr>
        <w:tblW w:type="dxa" w:w="10250"/>
        <w:tblLook w:firstColumn="1" w:firstRow="1" w:lastColumn="0" w:lastRow="0" w:noHBand="0" w:noVBand="1" w:val="04A0"/>
        <w:tblBorders>
          <w:top w:val="single" w:sz="4" w:space="0" w:color="D1DAE2"/>
          <w:left w:val="single" w:sz="4" w:space="0" w:color="D1DAE2"/>
          <w:bottom w:val="single" w:sz="4" w:space="0" w:color="D1DAE2"/>
          <w:right w:val="single" w:sz="4" w:space="0" w:color="D1DAE2"/>
          <w:insideH w:val="single" w:sz="4" w:space="0" w:color="D1DAE2"/>
          <w:insideV w:val="single" w:sz="4" w:space="0" w:color="D1DAE2"/>
        </w:tblBorders>
        <w:tblLayout w:type="fixed"/>
        <w:tblCellMar>
          <w:left w:w="10" w:type="dxa"/>
          <w:right w:w="10" w:type="dxa"/>
        </w:tblCellMar>
      </w:tblPr>
      <w:tblGrid>
        <w:gridCol w:w="1077"/>
        <w:gridCol w:w="1978"/>
        <w:gridCol w:w="3420"/>
        <w:gridCol w:w="1350"/>
        <w:gridCol w:w="2425"/>
      </w:tblGrid>
      <w:tr>
        <w:trPr>
          <w:cantSplit/>
          <w:trHeight w:val="300"/>
        </w:trPr>
        <w:tc>
          <w:tcPr>
            <w:tcW w:type="dxa" w:w="1077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1978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3420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Features</w:t>
            </w:r>
          </w:p>
        </w:tc>
        <w:tc>
          <w:tcPr>
            <w:tcW w:type="dxa" w:w="1350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Current status</w:t>
            </w:r>
          </w:p>
        </w:tc>
        <w:tc>
          <w:tcPr>
            <w:tcW w:type="dxa" w:w="2425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Standard customization scope</w:t>
            </w:r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Account universe &amp; grounding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The account universe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Account universe — the in-scope companies, their tiering, the relationship framing from the system of record*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In-scope account list definition · System-of-record field mapping and account-framing extraction · Per-client catalog-of-moves capture · Signal-source selection and licensing review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Sources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Signal sources — news, filings, disclosures, commercial feeds, EDGAR and IR pages**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Catalog of moves captured from the organization's own material — service lines, partnership offers, value levers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Grounding roadmap — legal-entity grouping, source-licensing gate, native multilingual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Signal intake &amp; normalization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Trigger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Trigger — scheduled scan, manual submit, on demand for one account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Relevance rules and thresholds per client · Account-matching rules · Cadence and source configuration · Signal-type catalog definition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Standing subscription — recurrence, deadline-bound triggers, what changed since last time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Normalization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Normalization — genuine, de-duplicated, resolved to the accounts affected, one record each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Provenance class — filing · disclosure · reported · rumour · model output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Implication reasoning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Evidence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Evidence assembly and ranking across first-party and public sources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●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Reasoning prompts per domain · Ripple rules per domain · Client catalog of moves and mapping logic · Scoring rubric and thresholds per client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Evidence and reasoning safeguards — the evidence set shown, contradictions surfaced, conclusions checked, opportunity and risk routed separately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The implication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Opportunity and risk reasoning — the "so what" per account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Catalog mapping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Opportunity mapped to a named move the organization can actually make — a service line, a partnership offer, a value lever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Catalog flexibility — a configurable mapping target, and "mapped to nothing" emitted as a demand-gap stream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Ripple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Cross-account ripple, descriptive, up to two levels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Ripple at scale — a licensed relationship graph, portfolio-level aggregation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Scoring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Magnitude and confidence scored 0–10 per item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Scoring maturity — confidence calibrated on realized outcomes, cost-aware ranking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Review &amp; evidence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The reviewer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Reviewer UI with cited evidence and visible reasoning — approve / reject with a comment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●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Reviewer layout and workflow configuration · Evaluation set and rubric per client · Feedback fields per workflow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Reviewer workbench — triage before anything is written; disagreement analysed as a signal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Evaluation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Evaluation — correctness and calibration harness, reviewer feedback captured as input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Evidence integrity — point-in-time replay, negative assertion, retraction re-check, feedback-driven tuning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rFonts w:ascii="Replica LL TT" w:hAnsi="Replica LL TT" w:eastAsia="Replica LL TT" w:cs="Replica LL TT"/>
                <w:b/>
                <w:color w:val="FFFFFF"/>
                <w:sz w:val="15"/>
              </w:rPr>
              <w:t>Output &amp; delivery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The record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Output — a structured per-account record or a narrative briefing, filtered by confidence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rFonts w:ascii="Replica LL TT" w:hAnsi="Replica LL TT" w:eastAsia="Replica LL TT" w:cs="Replica LL TT"/>
                <w:b w:val="0"/>
                <w:sz w:val="15"/>
              </w:rPr>
              <w:t>Output schema per client · Integration configuration per target system · Routing and ownership rules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Delivery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Export to the team's system of record — CRM, deal pipeline or portfolio tracker***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rFonts w:ascii="Replica LL TT" w:hAnsi="Replica LL TT" w:eastAsia="Replica LL TT" w:cs="Replica LL TT"/>
                <w:b w:val="0"/>
                <w:color w:val="26292B"/>
                <w:sz w:val="15"/>
              </w:rPr>
              <w:t>Downstream maturity — routing to the account owner, live write-back, outcome capture, and eventually acting on opportunities****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rFonts w:ascii="Replica LL TT" w:hAnsi="Replica LL TT" w:eastAsia="Replica LL TT" w:cs="Replica LL TT"/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</w:tbl>
    <w:p>
      <w:pPr>
        <w:spacing w:before="90" w:after="0" w:line="276" w:lineRule="auto"/>
      </w:pPr>
      <w:r>
        <w:rPr>
          <w:rFonts w:ascii="Replica LL TT" w:hAnsi="Replica LL TT" w:eastAsia="Replica LL TT" w:cs="Replica LL TT"/>
          <w:b w:val="0"/>
          <w:color w:val="1485C3"/>
          <w:sz w:val="16"/>
        </w:rPr>
        <w:t>●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available — provided out of the box, configuration may be required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· </w:t>
      </w:r>
      <w:r>
        <w:rPr>
          <w:rFonts w:ascii="Replica LL TT" w:hAnsi="Replica LL TT" w:eastAsia="Replica LL TT" w:cs="Replica LL TT"/>
          <w:b w:val="0"/>
          <w:color w:val="1485C3"/>
          <w:sz w:val="16"/>
        </w:rPr>
        <w:t>◐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partial — partially implemented, major improvements on the roadmap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· </w:t>
      </w:r>
      <w:r>
        <w:rPr>
          <w:rFonts w:ascii="Replica LL TT" w:hAnsi="Replica LL TT" w:eastAsia="Replica LL TT" w:cs="Replica LL TT"/>
          <w:b w:val="0"/>
          <w:color w:val="AEB4BA"/>
          <w:sz w:val="16"/>
        </w:rPr>
        <w:t>○</w:t>
      </w:r>
      <w:r>
        <w:rPr>
          <w:rFonts w:ascii="Replica LL TT" w:hAnsi="Replica LL TT" w:eastAsia="Replica LL TT" w:cs="Replica LL TT"/>
          <w:b w:val="0"/>
          <w:color w:val="4C5156"/>
          <w:sz w:val="14"/>
        </w:rPr>
        <w:t xml:space="preserve"> roadmap — planned, not implemented today</w:t>
      </w:r>
    </w:p>
    <w:p>
      <w:pPr>
        <w:spacing w:before="0" w:after="16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4"/>
        </w:rPr>
        <w:t>*  Account universe — the in-scope companies, their tiering, the relationship framing from the system of record: An agreed extract from the system of record at PoV Jumpstart; API at Integration</w:t>
      </w:r>
    </w:p>
    <w:p>
      <w:pPr>
        <w:spacing w:before="0" w:after="16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4"/>
        </w:rPr>
        <w:t>**  Signal sources — news, filings, disclosures, commercial feeds, EDGAR and IR pages: A bounded, licence-cleared source set at PoV Jumpstart; the client's own licensed feeds at Integration</w:t>
      </w:r>
    </w:p>
    <w:p>
      <w:pPr>
        <w:spacing w:before="0" w:after="16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4"/>
        </w:rPr>
        <w:t>***  Export to the team's system of record — CRM, deal pipeline or portfolio tracker: File export at PoV Jumpstart; API export is Integration-tier scope</w:t>
      </w:r>
    </w:p>
    <w:p>
      <w:pPr>
        <w:spacing w:before="0" w:after="16" w:line="276" w:lineRule="auto"/>
      </w:pPr>
      <w:r>
        <w:rPr>
          <w:rFonts w:ascii="Replica LL TT" w:hAnsi="Replica LL TT" w:eastAsia="Replica LL TT" w:cs="Replica LL TT"/>
          <w:b w:val="0"/>
          <w:color w:val="4C5156"/>
          <w:sz w:val="14"/>
        </w:rPr>
        <w:t>****  Downstream maturity — routing to the account owner, live write-back, outcome capture, and eventually acting on opportunities: Integration and Scaling tiers; nothing is written back in the proof of value</w:t>
      </w:r>
    </w:p>
    <w:sectPr w:rsidR="00FC693F" w:rsidRPr="0006063C" w:rsidSect="00034616">
      <w:footerReference w:type="default" r:id="rId10"/>
      <w:pgSz w:w="11906" w:h="16838"/>
      <w:pgMar w:top="567" w:right="743" w:bottom="420" w:left="743" w:header="720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zurio">
    <w:altName w:val="Georgia"/>
    <w:charset w:val="00"/>
    <w:family w:val="roman"/>
    <w:pitch w:val="variable"/>
  </w:font>
  <w:font w:name="Replica LL TT">
    <w:altName w:val="Arial"/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Replica LL TT" w:hAnsi="Replica LL TT" w:eastAsia="Replica LL TT" w:cs="Replica LL TT"/>
        <w:b w:val="0"/>
        <w:color w:val="4C5156"/>
        <w:sz w:val="13"/>
      </w:rPr>
      <w:t>Account Insights · feature list · spec v1 · generated 2026-09-22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Replica LL TT" w:hAnsi="Replica LL TT" w:eastAsia="Replica LL TT" w:cs="Replica LL TT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