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066042" w:rsidRDefault="00C2361D" w:rsidP="00C2361D">
      <w:pPr>
        <w:ind w:firstLine="0"/>
        <w:rPr>
          <w:b/>
          <w:lang w:val="en-US"/>
        </w:rPr>
      </w:pPr>
      <w:r w:rsidRPr="00066042">
        <w:rPr>
          <w:b/>
          <w:lang w:val="en-US"/>
        </w:rPr>
        <w:t>Topic</w:t>
      </w:r>
      <w:r>
        <w:rPr>
          <w:b/>
          <w:lang w:val="en-US"/>
        </w:rPr>
        <w:t>:</w:t>
      </w:r>
    </w:p>
    <w:p w:rsidR="001C49C2" w:rsidRDefault="001C49C2" w:rsidP="00371BB0">
      <w:pPr>
        <w:ind w:firstLine="0"/>
        <w:rPr>
          <w:lang w:val="en-US"/>
        </w:rPr>
      </w:pPr>
    </w:p>
    <w:p w:rsidR="00371BB0" w:rsidRDefault="00371BB0" w:rsidP="00371BB0">
      <w:pPr>
        <w:ind w:firstLine="0"/>
        <w:rPr>
          <w:lang w:val="en-US"/>
        </w:rPr>
      </w:pPr>
      <w:r>
        <w:rPr>
          <w:lang w:val="en-US"/>
        </w:rPr>
        <w:t>Adaption and integration of LMS into teaching in Finnish secondary schools</w:t>
      </w:r>
    </w:p>
    <w:p w:rsidR="008B7731" w:rsidRDefault="008B7731" w:rsidP="00371BB0">
      <w:pPr>
        <w:ind w:firstLine="0"/>
        <w:rPr>
          <w:lang w:val="en-US"/>
        </w:rPr>
      </w:pPr>
    </w:p>
    <w:p w:rsidR="00F93FD8" w:rsidRDefault="00F93FD8" w:rsidP="00371BB0">
      <w:pPr>
        <w:ind w:firstLine="0"/>
        <w:rPr>
          <w:b/>
          <w:lang w:val="en-US"/>
        </w:rPr>
      </w:pPr>
      <w:r>
        <w:rPr>
          <w:b/>
          <w:lang w:val="en-US"/>
        </w:rPr>
        <w:t>Research question:</w:t>
      </w:r>
    </w:p>
    <w:p w:rsidR="00F93FD8" w:rsidRDefault="00F93FD8" w:rsidP="00371BB0">
      <w:pPr>
        <w:ind w:firstLine="0"/>
        <w:rPr>
          <w:b/>
          <w:lang w:val="en-US"/>
        </w:rPr>
      </w:pPr>
    </w:p>
    <w:p w:rsidR="00F93FD8" w:rsidRPr="007A1AF9" w:rsidRDefault="00F93FD8" w:rsidP="00371BB0">
      <w:pPr>
        <w:ind w:firstLine="0"/>
        <w:rPr>
          <w:lang w:val="en-US"/>
        </w:rPr>
      </w:pPr>
      <w:r w:rsidRPr="007A1AF9">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371BB0" w:rsidRDefault="00371BB0" w:rsidP="00371BB0">
      <w:pPr>
        <w:ind w:firstLine="0"/>
        <w:rPr>
          <w:lang w:val="en-US"/>
        </w:rPr>
      </w:pPr>
    </w:p>
    <w:p w:rsidR="005834E9" w:rsidRPr="003B325F" w:rsidRDefault="00E43FF9" w:rsidP="003B325F">
      <w:pPr>
        <w:spacing w:after="200" w:line="276" w:lineRule="auto"/>
        <w:ind w:firstLine="0"/>
        <w:rPr>
          <w:color w:val="FF0000"/>
          <w:highlight w:val="lightGray"/>
          <w:lang w:val="en-US"/>
        </w:rPr>
      </w:pPr>
      <w:r w:rsidRPr="003B325F">
        <w:rPr>
          <w:color w:val="FF0000"/>
          <w:highlight w:val="lightGray"/>
          <w:lang w:val="en-US"/>
        </w:rPr>
        <w:t>TODO:</w:t>
      </w:r>
    </w:p>
    <w:p w:rsidR="00E43FF9" w:rsidRDefault="00E43FF9" w:rsidP="00E43FF9">
      <w:pPr>
        <w:pStyle w:val="ab"/>
        <w:numPr>
          <w:ilvl w:val="0"/>
          <w:numId w:val="18"/>
        </w:numPr>
        <w:rPr>
          <w:lang w:val="en-US"/>
        </w:rPr>
      </w:pPr>
      <w:r>
        <w:rPr>
          <w:lang w:val="en-US"/>
        </w:rPr>
        <w:t>Make list with abbreviations</w:t>
      </w:r>
    </w:p>
    <w:p w:rsidR="00E43FF9" w:rsidRDefault="00E43FF9" w:rsidP="00E43FF9">
      <w:pPr>
        <w:pStyle w:val="ab"/>
        <w:numPr>
          <w:ilvl w:val="0"/>
          <w:numId w:val="18"/>
        </w:numPr>
        <w:rPr>
          <w:lang w:val="en-US"/>
        </w:rPr>
      </w:pPr>
      <w:r>
        <w:rPr>
          <w:lang w:val="en-US"/>
        </w:rPr>
        <w:t>Make a structure (break text into the sections)</w:t>
      </w:r>
    </w:p>
    <w:p w:rsidR="003C4B34" w:rsidRPr="003B325F" w:rsidRDefault="003C4B34" w:rsidP="003B325F">
      <w:pPr>
        <w:spacing w:after="200" w:line="276" w:lineRule="auto"/>
        <w:ind w:firstLine="0"/>
        <w:rPr>
          <w:color w:val="FF0000"/>
          <w:highlight w:val="lightGray"/>
          <w:lang w:val="en-US"/>
        </w:rPr>
      </w:pPr>
      <w:r w:rsidRPr="003B325F">
        <w:rPr>
          <w:color w:val="FF0000"/>
          <w:highlight w:val="lightGray"/>
          <w:lang w:val="en-US"/>
        </w:rPr>
        <w:t>TODECIDE:</w:t>
      </w:r>
    </w:p>
    <w:p w:rsidR="003C4B34" w:rsidRPr="003C4B34" w:rsidRDefault="003C4B34" w:rsidP="003C4B34">
      <w:pPr>
        <w:pStyle w:val="ab"/>
        <w:numPr>
          <w:ilvl w:val="0"/>
          <w:numId w:val="19"/>
        </w:numPr>
        <w:rPr>
          <w:lang w:val="en-US"/>
        </w:rPr>
      </w:pPr>
      <w:r>
        <w:rPr>
          <w:lang w:val="en-US"/>
        </w:rPr>
        <w:t xml:space="preserve">Mention or not </w:t>
      </w:r>
      <w:proofErr w:type="spellStart"/>
      <w:r>
        <w:rPr>
          <w:lang w:val="en-US"/>
        </w:rPr>
        <w:t>Almerin</w:t>
      </w:r>
      <w:proofErr w:type="spellEnd"/>
      <w:r>
        <w:rPr>
          <w:lang w:val="en-US"/>
        </w:rPr>
        <w:t xml:space="preserve"> in the study. This could give additional motivation of why I am doing it (to understand the process of selling educational software to schools).</w:t>
      </w:r>
    </w:p>
    <w:p w:rsidR="00E43FF9" w:rsidRDefault="00E43FF9" w:rsidP="00E43FF9">
      <w:pPr>
        <w:ind w:firstLine="0"/>
        <w:rPr>
          <w:lang w:val="en-US"/>
        </w:rPr>
      </w:pPr>
    </w:p>
    <w:p w:rsidR="00E43FF9" w:rsidRPr="00C2361D" w:rsidRDefault="00C2361D" w:rsidP="00E43FF9">
      <w:pPr>
        <w:ind w:firstLine="0"/>
        <w:rPr>
          <w:b/>
          <w:lang w:val="en-US"/>
        </w:rPr>
      </w:pPr>
      <w:r w:rsidRPr="00C2361D">
        <w:rPr>
          <w:b/>
          <w:lang w:val="en-US"/>
        </w:rPr>
        <w:t>Structure:</w:t>
      </w:r>
    </w:p>
    <w:p w:rsidR="00B147E2" w:rsidRDefault="00B147E2" w:rsidP="0002451F">
      <w:pPr>
        <w:pStyle w:val="ab"/>
        <w:numPr>
          <w:ilvl w:val="0"/>
          <w:numId w:val="18"/>
        </w:numPr>
        <w:rPr>
          <w:lang w:val="en-US"/>
        </w:rPr>
      </w:pPr>
      <w:r w:rsidRPr="0002451F">
        <w:rPr>
          <w:lang w:val="en-US"/>
        </w:rPr>
        <w:t>Introduction</w:t>
      </w:r>
    </w:p>
    <w:p w:rsidR="00BA1047" w:rsidRDefault="00BA1047" w:rsidP="00BA1047">
      <w:pPr>
        <w:pStyle w:val="ab"/>
        <w:numPr>
          <w:ilvl w:val="1"/>
          <w:numId w:val="18"/>
        </w:numPr>
        <w:rPr>
          <w:lang w:val="en-US"/>
        </w:rPr>
      </w:pPr>
      <w:r>
        <w:rPr>
          <w:lang w:val="en-US"/>
        </w:rPr>
        <w:t>Key abbreviations</w:t>
      </w:r>
    </w:p>
    <w:p w:rsidR="0002451F" w:rsidRDefault="0002451F" w:rsidP="0002451F">
      <w:pPr>
        <w:pStyle w:val="ab"/>
        <w:numPr>
          <w:ilvl w:val="1"/>
          <w:numId w:val="18"/>
        </w:numPr>
        <w:rPr>
          <w:lang w:val="en-US"/>
        </w:rPr>
      </w:pPr>
      <w:r>
        <w:rPr>
          <w:lang w:val="en-US"/>
        </w:rPr>
        <w:t>Key definitions</w:t>
      </w:r>
    </w:p>
    <w:p w:rsidR="00230542" w:rsidRDefault="00230542" w:rsidP="0002451F">
      <w:pPr>
        <w:pStyle w:val="ab"/>
        <w:numPr>
          <w:ilvl w:val="1"/>
          <w:numId w:val="18"/>
        </w:numPr>
        <w:rPr>
          <w:lang w:val="en-US"/>
        </w:rPr>
      </w:pPr>
      <w:r>
        <w:rPr>
          <w:lang w:val="en-US"/>
        </w:rPr>
        <w:t>ICT adoption and integration in domain of education</w:t>
      </w:r>
    </w:p>
    <w:p w:rsidR="003B325F" w:rsidRDefault="003B325F" w:rsidP="003B325F">
      <w:pPr>
        <w:pStyle w:val="ab"/>
        <w:numPr>
          <w:ilvl w:val="0"/>
          <w:numId w:val="18"/>
        </w:numPr>
        <w:rPr>
          <w:lang w:val="en-US"/>
        </w:rPr>
      </w:pPr>
      <w:r>
        <w:rPr>
          <w:lang w:val="en-US"/>
        </w:rPr>
        <w:t>Review and analysis of available literature</w:t>
      </w:r>
    </w:p>
    <w:p w:rsidR="0002451F" w:rsidRDefault="003C4B34" w:rsidP="0002451F">
      <w:pPr>
        <w:pStyle w:val="ab"/>
        <w:numPr>
          <w:ilvl w:val="1"/>
          <w:numId w:val="18"/>
        </w:numPr>
        <w:rPr>
          <w:lang w:val="en-US"/>
        </w:rPr>
      </w:pPr>
      <w:r>
        <w:rPr>
          <w:lang w:val="en-US"/>
        </w:rPr>
        <w:t>Categories of factors influencing ICT adoption and integration into teaching</w:t>
      </w:r>
    </w:p>
    <w:p w:rsidR="003C4B34" w:rsidRDefault="00B30C99" w:rsidP="00BA1047">
      <w:pPr>
        <w:pStyle w:val="ab"/>
        <w:numPr>
          <w:ilvl w:val="2"/>
          <w:numId w:val="18"/>
        </w:numPr>
        <w:rPr>
          <w:lang w:val="en-US"/>
        </w:rPr>
      </w:pPr>
      <w:r>
        <w:rPr>
          <w:lang w:val="en-US"/>
        </w:rPr>
        <w:t>T</w:t>
      </w:r>
      <w:r w:rsidR="00BA1047">
        <w:rPr>
          <w:lang w:val="en-US"/>
        </w:rPr>
        <w:t>he</w:t>
      </w:r>
      <w:r>
        <w:rPr>
          <w:lang w:val="en-US"/>
        </w:rPr>
        <w:t>ories explaining</w:t>
      </w:r>
      <w:r w:rsidR="00BA1047">
        <w:rPr>
          <w:lang w:val="en-US"/>
        </w:rPr>
        <w:t xml:space="preserve"> </w:t>
      </w:r>
      <w:r>
        <w:rPr>
          <w:lang w:val="en-US"/>
        </w:rPr>
        <w:t>personal factors</w:t>
      </w:r>
    </w:p>
    <w:p w:rsidR="00BA1047" w:rsidRPr="00E01B54" w:rsidRDefault="00BA1047" w:rsidP="00BA1047">
      <w:pPr>
        <w:pStyle w:val="ab"/>
        <w:numPr>
          <w:ilvl w:val="2"/>
          <w:numId w:val="18"/>
        </w:numPr>
        <w:rPr>
          <w:color w:val="FF0000"/>
          <w:lang w:val="en-US"/>
        </w:rPr>
      </w:pPr>
      <w:r w:rsidRPr="00E01B54">
        <w:rPr>
          <w:color w:val="FF0000"/>
          <w:lang w:val="en-US"/>
        </w:rPr>
        <w:t>School-level factors</w:t>
      </w:r>
    </w:p>
    <w:p w:rsidR="00BA1047" w:rsidRPr="00E01B54" w:rsidRDefault="00BA1047" w:rsidP="00BA1047">
      <w:pPr>
        <w:pStyle w:val="ab"/>
        <w:numPr>
          <w:ilvl w:val="2"/>
          <w:numId w:val="18"/>
        </w:numPr>
        <w:rPr>
          <w:color w:val="FF0000"/>
          <w:lang w:val="en-US"/>
        </w:rPr>
      </w:pPr>
      <w:r w:rsidRPr="00E01B54">
        <w:rPr>
          <w:color w:val="FF0000"/>
          <w:lang w:val="en-US"/>
        </w:rPr>
        <w:t>System-level factors</w:t>
      </w:r>
    </w:p>
    <w:p w:rsidR="003C4B34" w:rsidRDefault="00E01B54" w:rsidP="0002451F">
      <w:pPr>
        <w:pStyle w:val="ab"/>
        <w:numPr>
          <w:ilvl w:val="1"/>
          <w:numId w:val="18"/>
        </w:numPr>
        <w:rPr>
          <w:lang w:val="en-US"/>
        </w:rPr>
      </w:pPr>
      <w:r>
        <w:rPr>
          <w:lang w:val="en-US"/>
        </w:rPr>
        <w:t>Different levels of educational polices as factors influencing school-level factors</w:t>
      </w:r>
    </w:p>
    <w:p w:rsidR="0004625F" w:rsidRDefault="0004625F" w:rsidP="0004625F">
      <w:pPr>
        <w:pStyle w:val="ab"/>
        <w:numPr>
          <w:ilvl w:val="2"/>
          <w:numId w:val="18"/>
        </w:numPr>
        <w:rPr>
          <w:lang w:val="en-US"/>
        </w:rPr>
      </w:pPr>
      <w:r>
        <w:rPr>
          <w:lang w:val="en-US"/>
        </w:rPr>
        <w:t xml:space="preserve">School level polices factors </w:t>
      </w:r>
    </w:p>
    <w:p w:rsidR="00E01B54" w:rsidRPr="0002451F" w:rsidRDefault="003B325F" w:rsidP="003B325F">
      <w:pPr>
        <w:pStyle w:val="ab"/>
        <w:numPr>
          <w:ilvl w:val="1"/>
          <w:numId w:val="18"/>
        </w:numPr>
        <w:rPr>
          <w:lang w:val="en-US"/>
        </w:rPr>
      </w:pPr>
      <w:r>
        <w:rPr>
          <w:lang w:val="en-US"/>
        </w:rPr>
        <w:t>Identification of the research gaps</w:t>
      </w:r>
    </w:p>
    <w:p w:rsidR="00B147E2" w:rsidRDefault="00B147E2" w:rsidP="0002451F">
      <w:pPr>
        <w:pStyle w:val="ab"/>
        <w:numPr>
          <w:ilvl w:val="0"/>
          <w:numId w:val="18"/>
        </w:numPr>
        <w:rPr>
          <w:lang w:val="en-US"/>
        </w:rPr>
      </w:pPr>
      <w:r w:rsidRPr="0002451F">
        <w:rPr>
          <w:lang w:val="en-US"/>
        </w:rPr>
        <w:t>Conclusion</w:t>
      </w:r>
    </w:p>
    <w:p w:rsidR="003B325F" w:rsidRPr="0002451F" w:rsidRDefault="003B325F" w:rsidP="003B325F">
      <w:pPr>
        <w:pStyle w:val="ab"/>
        <w:numPr>
          <w:ilvl w:val="1"/>
          <w:numId w:val="18"/>
        </w:numPr>
        <w:rPr>
          <w:lang w:val="en-US"/>
        </w:rPr>
      </w:pPr>
      <w:r>
        <w:rPr>
          <w:lang w:val="en-US"/>
        </w:rPr>
        <w:t>The purpose of the study</w:t>
      </w:r>
    </w:p>
    <w:p w:rsidR="00B147E2" w:rsidRDefault="00B147E2" w:rsidP="00E43FF9">
      <w:pPr>
        <w:ind w:firstLine="0"/>
        <w:rPr>
          <w:lang w:val="en-US"/>
        </w:rPr>
      </w:pPr>
    </w:p>
    <w:p w:rsidR="00C2361D" w:rsidRDefault="00C2361D">
      <w:pPr>
        <w:spacing w:after="200" w:line="276" w:lineRule="auto"/>
        <w:ind w:firstLine="0"/>
        <w:jc w:val="left"/>
        <w:rPr>
          <w:lang w:val="en-US"/>
        </w:rPr>
      </w:pPr>
      <w:r>
        <w:rPr>
          <w:lang w:val="en-US"/>
        </w:rPr>
        <w:br w:type="page"/>
      </w:r>
    </w:p>
    <w:p w:rsidR="00066042" w:rsidRDefault="00C2361D" w:rsidP="00C2361D">
      <w:pPr>
        <w:pStyle w:val="1"/>
        <w:spacing w:before="0"/>
        <w:rPr>
          <w:lang w:val="en-US"/>
        </w:rPr>
      </w:pPr>
      <w:r>
        <w:rPr>
          <w:lang w:val="en-US"/>
        </w:rPr>
        <w:lastRenderedPageBreak/>
        <w:t>INTRODUCTION</w:t>
      </w:r>
    </w:p>
    <w:p w:rsidR="00C2361D" w:rsidRDefault="00C2361D" w:rsidP="00C2361D">
      <w:pPr>
        <w:pStyle w:val="2"/>
        <w:rPr>
          <w:lang w:val="en-US"/>
        </w:rPr>
      </w:pPr>
      <w:r>
        <w:rPr>
          <w:lang w:val="en-US"/>
        </w:rPr>
        <w:t>Key abbreviations</w:t>
      </w:r>
    </w:p>
    <w:p w:rsidR="00C2361D" w:rsidRDefault="00C2361D" w:rsidP="00C2361D">
      <w:pPr>
        <w:pStyle w:val="Normaaliensimminenkappale"/>
        <w:rPr>
          <w:lang w:val="en-US"/>
        </w:rPr>
      </w:pPr>
      <w:r>
        <w:rPr>
          <w:lang w:val="en-US"/>
        </w:rPr>
        <w:t>ICT – information and communication technology</w:t>
      </w:r>
    </w:p>
    <w:p w:rsidR="00C2361D" w:rsidRPr="00C2361D" w:rsidRDefault="00C2361D" w:rsidP="00C2361D">
      <w:pPr>
        <w:ind w:firstLine="0"/>
        <w:rPr>
          <w:lang w:val="en-US"/>
        </w:rPr>
      </w:pPr>
      <w:r>
        <w:rPr>
          <w:lang w:val="en-US"/>
        </w:rPr>
        <w:t>LMS – learning management system</w:t>
      </w:r>
    </w:p>
    <w:p w:rsidR="00C2361D" w:rsidRPr="00C2361D" w:rsidRDefault="00C2361D" w:rsidP="00C2361D">
      <w:pPr>
        <w:pStyle w:val="2"/>
        <w:rPr>
          <w:lang w:val="en-US"/>
        </w:rPr>
      </w:pPr>
      <w:r>
        <w:rPr>
          <w:lang w:val="en-US"/>
        </w:rPr>
        <w:t>Key definitions</w:t>
      </w: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w:t>
      </w:r>
      <w:r w:rsidRPr="0005098B">
        <w:rPr>
          <w:highlight w:val="lightGray"/>
          <w:lang w:val="en-US"/>
        </w:rPr>
        <w:t>adoption</w:t>
      </w:r>
      <w:r w:rsidRPr="005824DC">
        <w:rPr>
          <w:lang w:val="en-US"/>
        </w:rPr>
        <w:t xml:space="preserve">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 xml:space="preserve">linked </w:t>
      </w:r>
      <w:r w:rsidRPr="0005098B">
        <w:rPr>
          <w:highlight w:val="lightGray"/>
          <w:lang w:val="en-US"/>
        </w:rPr>
        <w:t>ICT integration</w:t>
      </w:r>
      <w:r w:rsidRPr="0036626C">
        <w:rPr>
          <w:lang w:val="en-US"/>
        </w:rPr>
        <w:t xml:space="preserve">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36626C" w:rsidRDefault="00230542" w:rsidP="00230542">
      <w:pPr>
        <w:pStyle w:val="2"/>
        <w:rPr>
          <w:lang w:val="en-US"/>
        </w:rPr>
      </w:pPr>
      <w:r>
        <w:rPr>
          <w:lang w:val="en-US"/>
        </w:rPr>
        <w:t>ICT adoption and integration in domain of education</w:t>
      </w:r>
    </w:p>
    <w:p w:rsidR="00230542" w:rsidRPr="00EC6CA5" w:rsidRDefault="00230542" w:rsidP="00230542">
      <w:pPr>
        <w:ind w:firstLine="0"/>
        <w:rPr>
          <w:color w:val="FF0000"/>
          <w:lang w:val="en-US"/>
        </w:rPr>
      </w:pPr>
      <w:r w:rsidRPr="00EC6CA5">
        <w:rPr>
          <w:color w:val="FF0000"/>
          <w:highlight w:val="lightGray"/>
          <w:lang w:val="en-US"/>
        </w:rPr>
        <w:t>TODO: motivation for why I study ICT adoption and integration</w:t>
      </w:r>
    </w:p>
    <w:p w:rsidR="00230542" w:rsidRPr="00EC6CA5" w:rsidRDefault="00230542" w:rsidP="00230542">
      <w:pPr>
        <w:ind w:firstLine="0"/>
        <w:rPr>
          <w:color w:val="FF0000"/>
          <w:lang w:val="en-US"/>
        </w:rPr>
      </w:pPr>
    </w:p>
    <w:p w:rsidR="00230542" w:rsidRPr="00EC6CA5" w:rsidRDefault="00230542" w:rsidP="00230542">
      <w:pPr>
        <w:ind w:firstLine="0"/>
        <w:rPr>
          <w:lang w:val="en-US"/>
        </w:rPr>
      </w:pPr>
      <w:r>
        <w:rPr>
          <w:lang w:val="en-US"/>
        </w:rPr>
        <w:t xml:space="preserve">ICT adoption and integration as a big section of scientific studies has been studied well during late years. There has been developed great theories describing certain factors … But the reality is so that development and especially in IT sphere never stops and more and more sophisticated solutions (whether completely new or improved old ones) are appearing, available for people’s use and in completely different domains, for example </w:t>
      </w:r>
      <w:r w:rsidR="00E8419A">
        <w:rPr>
          <w:lang w:val="en-US"/>
        </w:rPr>
        <w:t xml:space="preserve">as to medicine and education. </w:t>
      </w:r>
      <w:r>
        <w:rPr>
          <w:lang w:val="en-US"/>
        </w:rPr>
        <w:t xml:space="preserve"> That is why …</w:t>
      </w:r>
    </w:p>
    <w:p w:rsidR="00230542" w:rsidRPr="00230542" w:rsidRDefault="00230542" w:rsidP="00230542">
      <w:pPr>
        <w:pStyle w:val="Normaaliensimminenkappale"/>
        <w:rPr>
          <w:lang w:val="en-US"/>
        </w:rPr>
      </w:pPr>
    </w:p>
    <w:p w:rsidR="00230542" w:rsidRPr="00846B74" w:rsidRDefault="00230542" w:rsidP="00230542">
      <w:pPr>
        <w:pStyle w:val="1"/>
        <w:spacing w:before="0"/>
        <w:rPr>
          <w:lang w:val="en-US"/>
        </w:rPr>
      </w:pPr>
      <w:r>
        <w:rPr>
          <w:lang w:val="en-US"/>
        </w:rPr>
        <w:lastRenderedPageBreak/>
        <w:t>REVIEW AND ANALYSIS OF AVAILABLE LITERATURE</w:t>
      </w:r>
    </w:p>
    <w:p w:rsidR="00C42D59" w:rsidRDefault="00C42D59" w:rsidP="00C42D59">
      <w:pPr>
        <w:pStyle w:val="2"/>
        <w:rPr>
          <w:lang w:val="en-US"/>
        </w:rPr>
      </w:pPr>
      <w:r>
        <w:rPr>
          <w:lang w:val="en-US"/>
        </w:rPr>
        <w:t>Categories of factors influencing ICT adoption and integration into teaching</w:t>
      </w:r>
    </w:p>
    <w:p w:rsidR="005834E9" w:rsidRDefault="005834E9" w:rsidP="00230542">
      <w:pPr>
        <w:ind w:firstLine="0"/>
        <w:rPr>
          <w:lang w:val="en-US"/>
        </w:rPr>
      </w:pPr>
      <w:proofErr w:type="spellStart"/>
      <w:r>
        <w:rPr>
          <w:lang w:val="en-US"/>
        </w:rPr>
        <w:t>Buabeng</w:t>
      </w:r>
      <w:proofErr w:type="spellEnd"/>
      <w:r>
        <w:rPr>
          <w:lang w:val="en-US"/>
        </w:rPr>
        <w:t xml:space="preserve">-Ando (2012) made a </w:t>
      </w:r>
      <w:r w:rsidRPr="0005098B">
        <w:rPr>
          <w:highlight w:val="lightGray"/>
          <w:lang w:val="en-US"/>
        </w:rPr>
        <w:t>literature review</w:t>
      </w:r>
      <w:r>
        <w:rPr>
          <w:lang w:val="en-US"/>
        </w:rPr>
        <w:t xml:space="preserve"> of those studies which were done to find out </w:t>
      </w:r>
      <w:r w:rsidRPr="0005098B">
        <w:rPr>
          <w:highlight w:val="lightGray"/>
          <w:lang w:val="en-US"/>
        </w:rPr>
        <w:t>factors influencing teachers’ adoption</w:t>
      </w:r>
      <w:r>
        <w:rPr>
          <w:lang w:val="en-US"/>
        </w:rPr>
        <w:t xml:space="preserve">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w:t>
      </w:r>
      <w:r w:rsidRPr="0005098B">
        <w:rPr>
          <w:highlight w:val="lightGray"/>
          <w:lang w:val="en-US"/>
        </w:rPr>
        <w:t>categorized</w:t>
      </w:r>
      <w:r>
        <w:rPr>
          <w:lang w:val="en-US"/>
        </w:rPr>
        <w:t xml:space="preserve">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w:t>
      </w:r>
      <w:r w:rsidR="00816A6B" w:rsidRPr="0005098B">
        <w:rPr>
          <w:highlight w:val="lightGray"/>
          <w:lang w:val="en-US"/>
        </w:rPr>
        <w:t>barriers</w:t>
      </w:r>
      <w:r w:rsidR="00816A6B" w:rsidRPr="00816A6B">
        <w:rPr>
          <w:lang w:val="en-US"/>
        </w:rPr>
        <w:t xml:space="preserve">) that discourage the use of ICT by teachers. </w:t>
      </w:r>
      <w:r w:rsidR="005834E9">
        <w:rPr>
          <w:lang w:val="en-US"/>
        </w:rPr>
        <w:t>These factors (barriers) have been categorized in teacher-level, school-lever and system-level barriers</w:t>
      </w:r>
      <w:r w:rsidR="00816A6B">
        <w:rPr>
          <w:lang w:val="en-US"/>
        </w:rPr>
        <w:t xml:space="preserve"> as </w:t>
      </w:r>
      <w:r w:rsidR="00816A6B" w:rsidRPr="0005098B">
        <w:rPr>
          <w:highlight w:val="lightGray"/>
          <w:lang w:val="en-US"/>
        </w:rPr>
        <w:t>suggested</w:t>
      </w:r>
      <w:r w:rsidR="00816A6B">
        <w:rPr>
          <w:lang w:val="en-US"/>
        </w:rPr>
        <w:t xml:space="preserve">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lastRenderedPageBreak/>
        <w:t>TABLE 2</w:t>
      </w:r>
      <w:r w:rsidR="004F7A22" w:rsidRPr="00135D69">
        <w:rPr>
          <w:sz w:val="21"/>
          <w:szCs w:val="21"/>
          <w:lang w:val="en-US"/>
        </w:rPr>
        <w:t xml:space="preserve"> Factors </w:t>
      </w:r>
      <w:r w:rsidR="00433819" w:rsidRPr="00135D69">
        <w:rPr>
          <w:sz w:val="21"/>
          <w:szCs w:val="21"/>
          <w:lang w:val="en-US"/>
        </w:rPr>
        <w:t>negatively</w:t>
      </w:r>
      <w:r w:rsidR="004E6A0F">
        <w:rPr>
          <w:sz w:val="21"/>
          <w:szCs w:val="21"/>
          <w:lang w:val="en-US"/>
        </w:rPr>
        <w:t xml:space="preserve"> influencing</w:t>
      </w:r>
      <w:r w:rsidR="007937BF">
        <w:rPr>
          <w:sz w:val="21"/>
          <w:szCs w:val="21"/>
          <w:lang w:val="en-US"/>
        </w:rPr>
        <w:t xml:space="preserve"> teacher’s</w:t>
      </w:r>
      <w:r w:rsidR="004F7A22" w:rsidRPr="00135D69">
        <w:rPr>
          <w:sz w:val="21"/>
          <w:szCs w:val="21"/>
          <w:lang w:val="en-US"/>
        </w:rPr>
        <w:t xml:space="preserve">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Factors</w:t>
            </w:r>
          </w:p>
        </w:tc>
      </w:tr>
      <w:tr w:rsidR="004F7A22" w:rsidRPr="008B7731"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8B7731"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8B7731"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A4680"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C42D59" w:rsidRDefault="00C42D59" w:rsidP="00B30C99">
      <w:pPr>
        <w:pStyle w:val="3"/>
        <w:rPr>
          <w:lang w:val="en-US"/>
        </w:rPr>
      </w:pPr>
      <w:r>
        <w:rPr>
          <w:lang w:val="en-US"/>
        </w:rPr>
        <w:t>Theories explaining personal factors</w:t>
      </w:r>
    </w:p>
    <w:p w:rsidR="00DC50E6" w:rsidRDefault="005A4680" w:rsidP="002A32E2">
      <w:pPr>
        <w:ind w:firstLine="0"/>
        <w:rPr>
          <w:lang w:val="en-US"/>
        </w:rPr>
      </w:pPr>
      <w:r>
        <w:rPr>
          <w:lang w:val="en-US"/>
        </w:rPr>
        <w:t xml:space="preserve">There has been done </w:t>
      </w:r>
      <w:r w:rsidRPr="0005098B">
        <w:rPr>
          <w:highlight w:val="lightGray"/>
          <w:lang w:val="en-US"/>
        </w:rPr>
        <w:t>various of studies</w:t>
      </w:r>
      <w:r>
        <w:rPr>
          <w:lang w:val="en-US"/>
        </w:rPr>
        <w:t xml:space="preserve"> on explaining </w:t>
      </w:r>
      <w:r w:rsidR="003D5534" w:rsidRPr="0005098B">
        <w:rPr>
          <w:highlight w:val="lightGray"/>
          <w:lang w:val="en-US"/>
        </w:rPr>
        <w:t>personal factors</w:t>
      </w:r>
      <w:r w:rsidR="003D5534">
        <w:rPr>
          <w:lang w:val="en-US"/>
        </w:rPr>
        <w:t xml:space="preserve">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is worth noticing technology acceptance model (</w:t>
      </w:r>
      <w:r w:rsidR="00350010" w:rsidRPr="0005098B">
        <w:rPr>
          <w:highlight w:val="lightGray"/>
          <w:lang w:val="en-US"/>
        </w:rPr>
        <w:t>TAM</w:t>
      </w:r>
      <w:r w:rsidR="00350010">
        <w:rPr>
          <w:lang w:val="en-US"/>
        </w:rPr>
        <w:t xml:space="preserve">)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w:t>
      </w:r>
      <w:r w:rsidR="00350010">
        <w:rPr>
          <w:rFonts w:ascii="BookAntiqua" w:hAnsi="BookAntiqua" w:cs="BookAntiqua"/>
          <w:szCs w:val="24"/>
          <w:lang w:val="en-US"/>
        </w:rPr>
        <w:lastRenderedPageBreak/>
        <w:t xml:space="preserve">adoption, </w:t>
      </w:r>
      <w:r w:rsidR="00070153">
        <w:rPr>
          <w:lang w:val="en-US"/>
        </w:rPr>
        <w:t xml:space="preserve">and </w:t>
      </w:r>
      <w:r w:rsidR="00070153" w:rsidRPr="0005098B">
        <w:rPr>
          <w:highlight w:val="lightGray"/>
          <w:lang w:val="en-US"/>
        </w:rPr>
        <w:t>UTAUT</w:t>
      </w:r>
      <w:r w:rsidR="00070153">
        <w:rPr>
          <w:lang w:val="en-US"/>
        </w:rPr>
        <w:t xml:space="preserve">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w:t>
      </w:r>
      <w:r w:rsidRPr="0005098B">
        <w:rPr>
          <w:highlight w:val="lightGray"/>
          <w:lang w:val="en-US"/>
        </w:rPr>
        <w:t>personal factors are crucial</w:t>
      </w:r>
      <w:r>
        <w:rPr>
          <w:lang w:val="en-US"/>
        </w:rPr>
        <w:t xml:space="preserve">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 xml:space="preserve">er to fill out this </w:t>
      </w:r>
      <w:r w:rsidR="00C05F4D" w:rsidRPr="0005098B">
        <w:rPr>
          <w:highlight w:val="lightGray"/>
          <w:lang w:val="en-US"/>
        </w:rPr>
        <w:t>gap</w:t>
      </w:r>
      <w:r w:rsidR="00C05F4D">
        <w:rPr>
          <w:lang w:val="en-US"/>
        </w:rPr>
        <w:t xml:space="preserve"> to</w:t>
      </w:r>
      <w:r w:rsidR="00DC50E6">
        <w:rPr>
          <w:lang w:val="en-US"/>
        </w:rPr>
        <w:t xml:space="preserve"> some extent. </w:t>
      </w:r>
    </w:p>
    <w:p w:rsidR="00CB4969" w:rsidRDefault="00C42D59" w:rsidP="00C42D59">
      <w:pPr>
        <w:pStyle w:val="2"/>
        <w:rPr>
          <w:lang w:val="en-US"/>
        </w:rPr>
      </w:pPr>
      <w:r>
        <w:rPr>
          <w:lang w:val="en-US"/>
        </w:rPr>
        <w:t xml:space="preserve">Different levels </w:t>
      </w:r>
      <w:r w:rsidR="00B30C99">
        <w:rPr>
          <w:lang w:val="en-US"/>
        </w:rPr>
        <w:t>of educational polices influencing school level factors</w:t>
      </w: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w:t>
      </w:r>
      <w:r w:rsidRPr="0005098B">
        <w:rPr>
          <w:highlight w:val="lightGray"/>
          <w:lang w:val="en-US"/>
        </w:rPr>
        <w:t>policy’</w:t>
      </w:r>
      <w:r>
        <w:rPr>
          <w:lang w:val="en-US"/>
        </w:rPr>
        <w:t xml:space="preserve">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 xml:space="preserve">Every school apart of </w:t>
      </w:r>
      <w:r w:rsidRPr="00E01B54">
        <w:rPr>
          <w:highlight w:val="lightGray"/>
          <w:lang w:val="en-US"/>
        </w:rPr>
        <w:t xml:space="preserve">school level </w:t>
      </w:r>
      <w:r w:rsidR="00E01B54">
        <w:rPr>
          <w:highlight w:val="lightGray"/>
          <w:lang w:val="en-US"/>
        </w:rPr>
        <w:t xml:space="preserve">or local </w:t>
      </w:r>
      <w:r w:rsidRPr="00E01B54">
        <w:rPr>
          <w:highlight w:val="lightGray"/>
          <w:lang w:val="en-US"/>
        </w:rPr>
        <w:t>polices</w:t>
      </w:r>
      <w:r>
        <w:rPr>
          <w:lang w:val="en-US"/>
        </w:rPr>
        <w:t xml:space="preserve"> i</w:t>
      </w:r>
      <w:r w:rsidR="00841E21">
        <w:rPr>
          <w:lang w:val="en-US"/>
        </w:rPr>
        <w:t xml:space="preserve">s also influenced at least by </w:t>
      </w:r>
      <w:r w:rsidR="00841E21" w:rsidRPr="0005098B">
        <w:rPr>
          <w:highlight w:val="lightGray"/>
          <w:lang w:val="en-US"/>
        </w:rPr>
        <w:t>national</w:t>
      </w:r>
      <w:r w:rsidR="00841E21">
        <w:rPr>
          <w:lang w:val="en-US"/>
        </w:rPr>
        <w:t>-</w:t>
      </w:r>
      <w:r w:rsidR="00841E21" w:rsidRPr="0005098B">
        <w:rPr>
          <w:highlight w:val="lightGray"/>
          <w:lang w:val="en-US"/>
        </w:rPr>
        <w:t>level polices</w:t>
      </w:r>
      <w:r w:rsidR="00841E21">
        <w:rPr>
          <w:lang w:val="en-US"/>
        </w:rPr>
        <w:t xml:space="preserve"> of that country where a school resides. In some cases, if a country is a member of some bigger organization or a union, e.g. European Union</w:t>
      </w:r>
      <w:r w:rsidR="00512752">
        <w:rPr>
          <w:lang w:val="en-US"/>
        </w:rPr>
        <w:t xml:space="preserve"> (EU)</w:t>
      </w:r>
      <w:r w:rsidR="00841E21">
        <w:rPr>
          <w:lang w:val="en-US"/>
        </w:rPr>
        <w:t xml:space="preserve">, then the whole country is also influenced by </w:t>
      </w:r>
      <w:r w:rsidR="00841E21" w:rsidRPr="0005098B">
        <w:rPr>
          <w:highlight w:val="lightGray"/>
          <w:lang w:val="en-US"/>
        </w:rPr>
        <w:t>union-level educational policies</w:t>
      </w:r>
      <w:r w:rsidR="00841E21">
        <w:rPr>
          <w:lang w:val="en-US"/>
        </w:rPr>
        <w:t>.</w:t>
      </w:r>
      <w:r w:rsidR="008A0B2F">
        <w:rPr>
          <w:lang w:val="en-US"/>
        </w:rPr>
        <w:t xml:space="preserve"> </w:t>
      </w:r>
      <w:proofErr w:type="spellStart"/>
      <w:r w:rsidR="000124C9" w:rsidRPr="0005098B">
        <w:rPr>
          <w:highlight w:val="lightGray"/>
          <w:lang w:val="en-US"/>
        </w:rPr>
        <w:t>Kozma</w:t>
      </w:r>
      <w:proofErr w:type="spellEnd"/>
      <w:r w:rsidR="000124C9" w:rsidRPr="0005098B">
        <w:rPr>
          <w:highlight w:val="lightGray"/>
          <w:lang w:val="en-US"/>
        </w:rPr>
        <w:t xml:space="preserve"> (2008) argues</w:t>
      </w:r>
      <w:r w:rsidR="00A974B0">
        <w:rPr>
          <w:lang w:val="en-US"/>
        </w:rPr>
        <w:t xml:space="preserve"> that</w:t>
      </w:r>
      <w:r w:rsidR="00A974B0" w:rsidRPr="00A974B0">
        <w:rPr>
          <w:lang w:val="en-US"/>
        </w:rPr>
        <w:t xml:space="preserve"> </w:t>
      </w:r>
      <w:r w:rsidR="002059AD" w:rsidRPr="002059AD">
        <w:rPr>
          <w:lang w:val="en-US"/>
        </w:rPr>
        <w:t xml:space="preserve">it is less likely that individual school and classroom innovations will be sustained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sidRPr="0005098B">
        <w:rPr>
          <w:highlight w:val="lightGray"/>
          <w:lang w:val="en-US"/>
        </w:rPr>
        <w:t>Tondeur</w:t>
      </w:r>
      <w:proofErr w:type="spellEnd"/>
      <w:r w:rsidR="00A974B0" w:rsidRPr="0005098B">
        <w:rPr>
          <w:highlight w:val="lightGray"/>
          <w:lang w:val="en-US"/>
        </w:rPr>
        <w:t xml:space="preserve"> et al (2008) claims</w:t>
      </w:r>
      <w:r w:rsidR="00A974B0">
        <w:rPr>
          <w:lang w:val="en-US"/>
        </w:rPr>
        <w:t xml:space="preserve">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w:t>
      </w:r>
      <w:r w:rsidR="00502A9B" w:rsidRPr="0005098B">
        <w:rPr>
          <w:highlight w:val="lightGray"/>
          <w:lang w:val="en-US"/>
        </w:rPr>
        <w:t>This study</w:t>
      </w:r>
      <w:r w:rsidR="00502A9B">
        <w:rPr>
          <w:lang w:val="en-US"/>
        </w:rPr>
        <w:t xml:space="preserve"> is not arguing with the first claim, but rather </w:t>
      </w:r>
      <w:r w:rsidR="008A0B2F" w:rsidRPr="0005098B">
        <w:rPr>
          <w:highlight w:val="lightGray"/>
          <w:lang w:val="en-US"/>
        </w:rPr>
        <w:t xml:space="preserve">will exclude </w:t>
      </w:r>
      <w:r w:rsidR="00C73CCD" w:rsidRPr="0005098B">
        <w:rPr>
          <w:highlight w:val="lightGray"/>
          <w:lang w:val="en-US"/>
        </w:rPr>
        <w:t>the factor</w:t>
      </w:r>
      <w:r w:rsidR="00C73CCD">
        <w:rPr>
          <w:lang w:val="en-US"/>
        </w:rPr>
        <w:t xml:space="preserve"> </w:t>
      </w:r>
      <w:r w:rsidR="00C73CCD">
        <w:rPr>
          <w:lang w:val="en-US"/>
        </w:rPr>
        <w:lastRenderedPageBreak/>
        <w:t>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w:t>
      </w:r>
      <w:r w:rsidR="00F70446" w:rsidRPr="0005098B">
        <w:rPr>
          <w:highlight w:val="lightGray"/>
          <w:lang w:val="en-US"/>
        </w:rPr>
        <w:t xml:space="preserve">context of </w:t>
      </w:r>
      <w:r w:rsidRPr="0005098B">
        <w:rPr>
          <w:highlight w:val="lightGray"/>
          <w:lang w:val="en-US"/>
        </w:rPr>
        <w:t xml:space="preserve">primary schools </w:t>
      </w:r>
      <w:r w:rsidR="00322AB7" w:rsidRPr="0005098B">
        <w:rPr>
          <w:highlight w:val="lightGray"/>
          <w:lang w:val="en-US"/>
        </w:rPr>
        <w:t>of</w:t>
      </w:r>
      <w:r w:rsidRPr="0005098B">
        <w:rPr>
          <w:highlight w:val="lightGray"/>
          <w:lang w:val="en-US"/>
        </w:rPr>
        <w:t xml:space="preserve"> Flanders</w:t>
      </w:r>
      <w:r>
        <w:rPr>
          <w:lang w:val="en-US"/>
        </w:rPr>
        <w:t xml:space="preserve">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w:t>
      </w:r>
      <w:r w:rsidR="00C05F4D" w:rsidRPr="0005098B">
        <w:rPr>
          <w:highlight w:val="lightGray"/>
          <w:lang w:val="en-US"/>
        </w:rPr>
        <w:t>gap</w:t>
      </w:r>
      <w:r w:rsidR="00C05F4D">
        <w:rPr>
          <w:lang w:val="en-US"/>
        </w:rPr>
        <w:t xml:space="preserve"> to</w:t>
      </w:r>
      <w:r w:rsidR="00F70446">
        <w:rPr>
          <w:lang w:val="en-US"/>
        </w:rPr>
        <w:t xml:space="preserve"> some extent, this study </w:t>
      </w:r>
      <w:r w:rsidR="004252D8">
        <w:rPr>
          <w:lang w:val="en-US"/>
        </w:rPr>
        <w:t>will focus on</w:t>
      </w:r>
      <w:r w:rsidR="00181015">
        <w:rPr>
          <w:lang w:val="en-US"/>
        </w:rPr>
        <w:t xml:space="preserve"> </w:t>
      </w:r>
      <w:r w:rsidR="004252D8">
        <w:rPr>
          <w:lang w:val="en-US"/>
        </w:rPr>
        <w:t xml:space="preserve">schools in Finland, particularly on </w:t>
      </w:r>
      <w:r w:rsidR="004252D8" w:rsidRPr="0005098B">
        <w:rPr>
          <w:highlight w:val="lightGray"/>
          <w:lang w:val="en-US"/>
        </w:rPr>
        <w:t>Finnish</w:t>
      </w:r>
      <w:r w:rsidR="00181015" w:rsidRPr="0005098B">
        <w:rPr>
          <w:highlight w:val="lightGray"/>
          <w:lang w:val="en-US"/>
        </w:rPr>
        <w:t xml:space="preserve"> secondary</w:t>
      </w:r>
      <w:r w:rsidR="003F2B74" w:rsidRPr="0005098B">
        <w:rPr>
          <w:highlight w:val="lightGray"/>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sidRPr="0005098B">
        <w:rPr>
          <w:highlight w:val="lightGray"/>
          <w:lang w:val="en-US"/>
        </w:rPr>
        <w:t xml:space="preserve">these </w:t>
      </w:r>
      <w:r w:rsidR="0001547D" w:rsidRPr="0005098B">
        <w:rPr>
          <w:highlight w:val="lightGray"/>
          <w:lang w:val="en-US"/>
        </w:rPr>
        <w:t xml:space="preserve">factors </w:t>
      </w:r>
      <w:r w:rsidR="008D34E7" w:rsidRPr="0005098B">
        <w:rPr>
          <w:highlight w:val="lightGray"/>
          <w:lang w:val="en-US"/>
        </w:rPr>
        <w:t>become irrelevant</w:t>
      </w:r>
      <w:r w:rsidR="008D34E7">
        <w:rPr>
          <w:lang w:val="en-US"/>
        </w:rPr>
        <w:t xml:space="preserve">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sidRPr="0005098B">
        <w:rPr>
          <w:highlight w:val="lightGray"/>
          <w:lang w:val="en-US"/>
        </w:rPr>
        <w:t>Another gap</w:t>
      </w:r>
      <w:r>
        <w:rPr>
          <w:lang w:val="en-US"/>
        </w:rPr>
        <w:t xml:space="preserve">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w:t>
      </w:r>
      <w:r w:rsidR="00DC2533" w:rsidRPr="0005098B">
        <w:rPr>
          <w:highlight w:val="lightGray"/>
          <w:lang w:val="en-US"/>
        </w:rPr>
        <w:t>general use of computers</w:t>
      </w:r>
      <w:r w:rsidR="00DC2533">
        <w:rPr>
          <w:lang w:val="en-US"/>
        </w:rPr>
        <w:t xml:space="preserve">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w:t>
      </w:r>
      <w:r w:rsidR="00BA57D5" w:rsidRPr="004623FB">
        <w:rPr>
          <w:lang w:val="en-US"/>
        </w:rPr>
        <w:lastRenderedPageBreak/>
        <w:t>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because 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w:t>
      </w:r>
      <w:r w:rsidRPr="0005098B">
        <w:rPr>
          <w:highlight w:val="lightGray"/>
          <w:lang w:val="en-US"/>
        </w:rPr>
        <w:t>core</w:t>
      </w:r>
      <w:r>
        <w:rPr>
          <w:lang w:val="en-US"/>
        </w:rPr>
        <w:t>”</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w:t>
      </w:r>
      <w:r w:rsidRPr="0005098B">
        <w:rPr>
          <w:highlight w:val="lightGray"/>
          <w:lang w:val="en-US"/>
        </w:rPr>
        <w:t>supplementary</w:t>
      </w:r>
      <w:r>
        <w:rPr>
          <w:lang w:val="en-US"/>
        </w:rPr>
        <w:t xml:space="preserve">”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can become successful </w:t>
      </w:r>
      <w:r w:rsidR="00973EFD" w:rsidRPr="000D62EE">
        <w:rPr>
          <w:lang w:val="en-US"/>
        </w:rPr>
        <w:t xml:space="preserve">only when the use of technology </w:t>
      </w:r>
      <w:r w:rsidRPr="000D62EE">
        <w:rPr>
          <w:lang w:val="en-US"/>
        </w:rPr>
        <w:t>moves from the complementary 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3B325F" w:rsidRPr="003B325F" w:rsidRDefault="003B325F" w:rsidP="00E0244E">
      <w:pPr>
        <w:spacing w:after="200" w:line="276" w:lineRule="auto"/>
        <w:ind w:firstLine="0"/>
        <w:rPr>
          <w:color w:val="FF0000"/>
          <w:lang w:val="en-US"/>
        </w:rPr>
      </w:pPr>
      <w:r w:rsidRPr="003B325F">
        <w:rPr>
          <w:color w:val="FF0000"/>
          <w:highlight w:val="lightGray"/>
          <w:lang w:val="en-US"/>
        </w:rPr>
        <w:t>TODECIDE: could this be included into the method part?</w:t>
      </w: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also </w:t>
      </w:r>
      <w:r w:rsidR="004953E5" w:rsidRPr="00B87C59">
        <w:rPr>
          <w:lang w:val="en-US"/>
        </w:rPr>
        <w:t xml:space="preserve">with respect to </w:t>
      </w:r>
      <w:r w:rsidR="004953E5" w:rsidRPr="0005098B">
        <w:rPr>
          <w:highlight w:val="lightGray"/>
          <w:lang w:val="en-US"/>
        </w:rPr>
        <w:t>five areas</w:t>
      </w:r>
      <w:r w:rsidRPr="0005098B">
        <w:rPr>
          <w:highlight w:val="lightGray"/>
          <w:lang w:val="en-US"/>
        </w:rPr>
        <w:t xml:space="preserve"> 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(Phillips,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 xml:space="preserve">According to </w:t>
      </w:r>
      <w:proofErr w:type="spellStart"/>
      <w:r w:rsidR="00AF1D31">
        <w:rPr>
          <w:lang w:val="en-US"/>
        </w:rPr>
        <w:t>Tondeur</w:t>
      </w:r>
      <w:proofErr w:type="spellEnd"/>
      <w:r w:rsidR="00AF1D31">
        <w:rPr>
          <w:lang w:val="en-US"/>
        </w:rPr>
        <w:t xml:space="preserve"> et al (2008),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w:t>
      </w:r>
      <w:r w:rsidR="00E0244E">
        <w:rPr>
          <w:lang w:val="en-US"/>
        </w:rPr>
        <w:lastRenderedPageBreak/>
        <w:t>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RPr="008B7731"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RPr="008B7731"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291AC4" w:rsidRPr="007A1AF9" w:rsidRDefault="007A1AF9" w:rsidP="00E0244E">
      <w:pPr>
        <w:spacing w:after="200" w:line="276" w:lineRule="auto"/>
        <w:ind w:firstLine="0"/>
        <w:rPr>
          <w:b/>
          <w:sz w:val="32"/>
          <w:szCs w:val="32"/>
          <w:lang w:val="en-US"/>
        </w:rPr>
      </w:pPr>
      <w:r w:rsidRPr="007A1AF9">
        <w:rPr>
          <w:b/>
          <w:sz w:val="32"/>
          <w:szCs w:val="32"/>
          <w:lang w:val="en-US"/>
        </w:rPr>
        <w:t>Research questions:</w:t>
      </w:r>
    </w:p>
    <w:p w:rsidR="007A1AF9" w:rsidRDefault="007A1AF9" w:rsidP="00E0244E">
      <w:pPr>
        <w:spacing w:after="200" w:line="276" w:lineRule="auto"/>
        <w:ind w:firstLine="0"/>
        <w:rPr>
          <w:lang w:val="en-US"/>
        </w:rPr>
      </w:pPr>
    </w:p>
    <w:p w:rsidR="007A1AF9" w:rsidRPr="007A1AF9" w:rsidRDefault="007A1AF9" w:rsidP="007A1AF9">
      <w:pPr>
        <w:spacing w:after="200" w:line="276" w:lineRule="auto"/>
        <w:ind w:firstLine="0"/>
        <w:rPr>
          <w:b/>
          <w:lang w:val="en-US"/>
        </w:rPr>
      </w:pPr>
      <w:r w:rsidRPr="007A1AF9">
        <w:rPr>
          <w:b/>
          <w:lang w:val="en-US"/>
        </w:rPr>
        <w:t>Does the usage of LMS differ between Finnish secondary schools with the same positive level of pedagogical attitude towards LMS usage but with or without ICT supporting local polices?</w:t>
      </w:r>
    </w:p>
    <w:p w:rsidR="00291AC4" w:rsidRPr="007A1AF9" w:rsidRDefault="007A1AF9" w:rsidP="00E0244E">
      <w:pPr>
        <w:spacing w:after="200" w:line="276" w:lineRule="auto"/>
        <w:ind w:firstLine="0"/>
        <w:rPr>
          <w:lang w:val="en-US"/>
        </w:rPr>
      </w:pPr>
      <w:r>
        <w:rPr>
          <w:lang w:val="en-US"/>
        </w:rPr>
        <w:t>(</w:t>
      </w:r>
      <w:r w:rsidR="00291AC4" w:rsidRPr="007A1AF9">
        <w:rPr>
          <w:lang w:val="en-US"/>
        </w:rPr>
        <w:t xml:space="preserve">Does usage of LMS in schools with ICT supporting local polices </w:t>
      </w:r>
      <w:r w:rsidR="00F13639" w:rsidRPr="007A1AF9">
        <w:rPr>
          <w:lang w:val="en-US"/>
        </w:rPr>
        <w:t xml:space="preserve">and </w:t>
      </w:r>
      <w:r w:rsidR="00F93FD8" w:rsidRPr="007A1AF9">
        <w:rPr>
          <w:lang w:val="en-US"/>
        </w:rPr>
        <w:t xml:space="preserve">pedagogical </w:t>
      </w:r>
      <w:r w:rsidR="00F13639" w:rsidRPr="007A1AF9">
        <w:rPr>
          <w:lang w:val="en-US"/>
        </w:rPr>
        <w:t>positive at</w:t>
      </w:r>
      <w:r w:rsidR="00F93FD8" w:rsidRPr="007A1AF9">
        <w:rPr>
          <w:lang w:val="en-US"/>
        </w:rPr>
        <w:t>titude towards LMS</w:t>
      </w:r>
      <w:r w:rsidR="00F13639" w:rsidRPr="007A1AF9">
        <w:rPr>
          <w:lang w:val="en-US"/>
        </w:rPr>
        <w:t xml:space="preserve"> </w:t>
      </w:r>
      <w:r w:rsidR="00F93FD8" w:rsidRPr="007A1AF9">
        <w:rPr>
          <w:lang w:val="en-US"/>
        </w:rPr>
        <w:t xml:space="preserve">usage </w:t>
      </w:r>
      <w:r w:rsidR="00291AC4" w:rsidRPr="007A1AF9">
        <w:rPr>
          <w:lang w:val="en-US"/>
        </w:rPr>
        <w:t xml:space="preserve">differ from LMS usage of those schools where ICT support is not </w:t>
      </w:r>
      <w:r w:rsidR="00C41D04" w:rsidRPr="007A1AF9">
        <w:rPr>
          <w:lang w:val="en-US"/>
        </w:rPr>
        <w:t>explicitly</w:t>
      </w:r>
      <w:r w:rsidR="00B656AB" w:rsidRPr="007A1AF9">
        <w:rPr>
          <w:lang w:val="en-US"/>
        </w:rPr>
        <w:t xml:space="preserve"> defined in local polices</w:t>
      </w:r>
      <w:r w:rsidR="00F13639" w:rsidRPr="007A1AF9">
        <w:rPr>
          <w:lang w:val="en-US"/>
        </w:rPr>
        <w:t xml:space="preserve"> but pedagogical attitude towards using LMS is also </w:t>
      </w:r>
      <w:r w:rsidR="00F93FD8" w:rsidRPr="007A1AF9">
        <w:rPr>
          <w:lang w:val="en-US"/>
        </w:rPr>
        <w:t>positive?</w:t>
      </w:r>
      <w:r w:rsidR="00B656AB" w:rsidRPr="007A1AF9">
        <w:rPr>
          <w:lang w:val="en-US"/>
        </w:rPr>
        <w:t xml:space="preserve"> </w:t>
      </w:r>
      <w:r w:rsidR="00F13639" w:rsidRPr="007A1AF9">
        <w:rPr>
          <w:lang w:val="en-US"/>
        </w:rPr>
        <w:t>(comparison is done according to the type of LMS; schools using the same LMS are compared together)</w:t>
      </w:r>
      <w:r>
        <w:rPr>
          <w:lang w:val="en-US"/>
        </w:rPr>
        <w:t>)</w:t>
      </w:r>
      <w:r w:rsidR="00F13639" w:rsidRPr="007A1AF9">
        <w:rPr>
          <w:lang w:val="en-US"/>
        </w:rPr>
        <w:t>.</w:t>
      </w:r>
      <w:r w:rsidR="00C41D04" w:rsidRPr="007A1AF9">
        <w:rPr>
          <w:lang w:val="en-US"/>
        </w:rPr>
        <w:t xml:space="preserve"> </w:t>
      </w:r>
    </w:p>
    <w:p w:rsidR="007A1AF9" w:rsidRDefault="007A1AF9" w:rsidP="00E0244E">
      <w:pPr>
        <w:spacing w:after="200" w:line="276" w:lineRule="auto"/>
        <w:ind w:firstLine="0"/>
        <w:rPr>
          <w:lang w:val="en-US"/>
        </w:rPr>
      </w:pPr>
    </w:p>
    <w:p w:rsidR="007A1AF9" w:rsidRDefault="007A1AF9" w:rsidP="007A1AF9">
      <w:pPr>
        <w:pStyle w:val="ab"/>
        <w:numPr>
          <w:ilvl w:val="0"/>
          <w:numId w:val="22"/>
        </w:numPr>
        <w:spacing w:after="200" w:line="276" w:lineRule="auto"/>
        <w:rPr>
          <w:lang w:val="en-US"/>
        </w:rPr>
      </w:pPr>
      <w:r w:rsidRPr="007A1AF9">
        <w:rPr>
          <w:lang w:val="en-US"/>
        </w:rPr>
        <w:t>Do school have polices which are supporting usage of LMS (ICT plan, leadership, training, monitoring of integration LMS into teaching, cooperation be-tween schools to share knowledge)?</w:t>
      </w:r>
    </w:p>
    <w:p w:rsidR="006949B5" w:rsidRPr="006949B5" w:rsidRDefault="006949B5" w:rsidP="006949B5">
      <w:pPr>
        <w:pStyle w:val="ab"/>
        <w:numPr>
          <w:ilvl w:val="0"/>
          <w:numId w:val="22"/>
        </w:numPr>
        <w:rPr>
          <w:lang w:val="en-US"/>
        </w:rPr>
      </w:pPr>
      <w:r w:rsidRPr="006949B5">
        <w:rPr>
          <w:lang w:val="en-US"/>
        </w:rPr>
        <w:t>Is LMS, where in use, defined as a ‘core’ or ‘supplementary’ technology?</w:t>
      </w:r>
    </w:p>
    <w:p w:rsidR="006949B5" w:rsidRPr="006949B5" w:rsidRDefault="006949B5" w:rsidP="006949B5">
      <w:pPr>
        <w:pStyle w:val="ab"/>
        <w:numPr>
          <w:ilvl w:val="0"/>
          <w:numId w:val="22"/>
        </w:numPr>
        <w:rPr>
          <w:lang w:val="en-US"/>
        </w:rPr>
      </w:pPr>
      <w:r w:rsidRPr="006949B5">
        <w:rPr>
          <w:lang w:val="en-US"/>
        </w:rPr>
        <w:t>How the process of choosing of ICT tools (focus on LMS) look like? Is that a bottom-up or up-to-bottom initiative?</w:t>
      </w:r>
    </w:p>
    <w:p w:rsidR="007A1AF9" w:rsidRPr="007A1AF9" w:rsidRDefault="007A1AF9" w:rsidP="007A1AF9">
      <w:pPr>
        <w:pStyle w:val="ab"/>
        <w:numPr>
          <w:ilvl w:val="0"/>
          <w:numId w:val="22"/>
        </w:numPr>
        <w:spacing w:after="200" w:line="276" w:lineRule="auto"/>
        <w:rPr>
          <w:lang w:val="en-US"/>
        </w:rPr>
      </w:pPr>
      <w:r w:rsidRPr="007A1AF9">
        <w:rPr>
          <w:lang w:val="en-US"/>
        </w:rPr>
        <w:lastRenderedPageBreak/>
        <w:t>For what purposes do schools use LMS? (</w:t>
      </w:r>
      <w:r w:rsidR="00D01410">
        <w:rPr>
          <w:lang w:val="en-US"/>
        </w:rPr>
        <w:t>file sharing, submitting assignments, as a portfolio, platform for collaboration, for chatting, for organizing events, for providing materials according to student preferences</w:t>
      </w:r>
      <w:r w:rsidR="006949B5">
        <w:rPr>
          <w:lang w:val="en-US"/>
        </w:rPr>
        <w:t xml:space="preserve"> (personalized learning)</w:t>
      </w:r>
      <w:r w:rsidR="00D01410">
        <w:rPr>
          <w:lang w:val="en-US"/>
        </w:rPr>
        <w:t>, for analyzing / monitoring student success</w:t>
      </w:r>
      <w:r w:rsidR="00A0340E">
        <w:rPr>
          <w:lang w:val="en-US"/>
        </w:rPr>
        <w:t>, for reducing teaching planning hours</w:t>
      </w:r>
      <w:r w:rsidRPr="007A1AF9">
        <w:rPr>
          <w:lang w:val="en-US"/>
        </w:rPr>
        <w:t>)</w:t>
      </w:r>
      <w:r w:rsidR="00D01410">
        <w:rPr>
          <w:lang w:val="en-US"/>
        </w:rPr>
        <w:t xml:space="preserve">. </w:t>
      </w:r>
    </w:p>
    <w:p w:rsidR="00474B8E" w:rsidRDefault="0004625F" w:rsidP="00BA1047">
      <w:pPr>
        <w:ind w:firstLine="0"/>
        <w:rPr>
          <w:lang w:val="en-US"/>
        </w:rPr>
      </w:pPr>
      <w:r>
        <w:rPr>
          <w:color w:val="FF0000"/>
          <w:lang w:val="en-US"/>
        </w:rPr>
        <w:t>Further</w:t>
      </w:r>
      <w:r w:rsidR="00BA1047" w:rsidRPr="00042F3B">
        <w:rPr>
          <w:color w:val="FF0000"/>
          <w:lang w:val="en-US"/>
        </w:rPr>
        <w:t xml:space="preserve"> studies:</w:t>
      </w:r>
      <w:r w:rsidR="00BA1047">
        <w:rPr>
          <w:lang w:val="en-US"/>
        </w:rPr>
        <w:t xml:space="preserve"> how system-level factors influence ICT adoption and integration into teaching.</w:t>
      </w:r>
    </w:p>
    <w:p w:rsidR="00474B8E" w:rsidRDefault="00474B8E" w:rsidP="00BA1047">
      <w:pPr>
        <w:ind w:firstLine="0"/>
        <w:rPr>
          <w:lang w:val="en-US"/>
        </w:rPr>
      </w:pPr>
    </w:p>
    <w:p w:rsidR="00474B8E" w:rsidRDefault="00474B8E" w:rsidP="00BA1047">
      <w:pPr>
        <w:ind w:firstLine="0"/>
        <w:rPr>
          <w:lang w:val="en-US"/>
        </w:rPr>
      </w:pPr>
      <w:r>
        <w:rPr>
          <w:lang w:val="en-US"/>
        </w:rPr>
        <w:t xml:space="preserve">How geographical </w:t>
      </w:r>
      <w:proofErr w:type="spellStart"/>
      <w:r>
        <w:rPr>
          <w:lang w:val="en-US"/>
        </w:rPr>
        <w:t>loc</w:t>
      </w:r>
      <w:proofErr w:type="spellEnd"/>
      <w:r>
        <w:rPr>
          <w:lang w:val="en-US"/>
        </w:rPr>
        <w:t xml:space="preserve"> and social economy resources influence the usage of ICT in classrooms</w:t>
      </w:r>
    </w:p>
    <w:p w:rsidR="00474B8E" w:rsidRDefault="00474B8E" w:rsidP="00BA1047">
      <w:pPr>
        <w:ind w:firstLine="0"/>
        <w:rPr>
          <w:lang w:val="en-US"/>
        </w:rPr>
      </w:pPr>
    </w:p>
    <w:p w:rsidR="00474B8E" w:rsidRDefault="00474B8E" w:rsidP="00BA1047">
      <w:pPr>
        <w:ind w:firstLine="0"/>
        <w:rPr>
          <w:lang w:val="en-US"/>
        </w:rPr>
      </w:pPr>
      <w:r>
        <w:rPr>
          <w:lang w:val="en-US"/>
        </w:rPr>
        <w:t>To answer this I study …</w:t>
      </w:r>
    </w:p>
    <w:p w:rsidR="00474B8E" w:rsidRDefault="00474B8E" w:rsidP="00BA1047">
      <w:pPr>
        <w:ind w:firstLine="0"/>
        <w:rPr>
          <w:lang w:val="en-US"/>
        </w:rPr>
      </w:pPr>
    </w:p>
    <w:p w:rsidR="00474B8E" w:rsidRDefault="00474B8E" w:rsidP="00BA1047">
      <w:pPr>
        <w:ind w:firstLine="0"/>
        <w:rPr>
          <w:lang w:val="en-US"/>
        </w:rPr>
      </w:pPr>
      <w:r>
        <w:rPr>
          <w:lang w:val="en-US"/>
        </w:rPr>
        <w:t>Find place with different social econ factors</w:t>
      </w:r>
    </w:p>
    <w:p w:rsidR="00474B8E" w:rsidRDefault="00474B8E" w:rsidP="00BA1047">
      <w:pPr>
        <w:ind w:firstLine="0"/>
        <w:rPr>
          <w:lang w:val="en-US"/>
        </w:rPr>
      </w:pPr>
    </w:p>
    <w:p w:rsidR="00474B8E" w:rsidRDefault="00474B8E" w:rsidP="00BA1047">
      <w:pPr>
        <w:ind w:firstLine="0"/>
        <w:rPr>
          <w:lang w:val="en-US"/>
        </w:rPr>
      </w:pPr>
      <w:r>
        <w:rPr>
          <w:lang w:val="en-US"/>
        </w:rPr>
        <w:t>Research design and research context and research question should be considered together.</w:t>
      </w:r>
    </w:p>
    <w:p w:rsidR="00474B8E" w:rsidRDefault="00474B8E" w:rsidP="00BA1047">
      <w:pPr>
        <w:ind w:firstLine="0"/>
        <w:rPr>
          <w:lang w:val="en-US"/>
        </w:rPr>
      </w:pPr>
    </w:p>
    <w:p w:rsidR="00474B8E" w:rsidRDefault="00474B8E" w:rsidP="00BA1047">
      <w:pPr>
        <w:ind w:firstLine="0"/>
        <w:rPr>
          <w:lang w:val="en-US"/>
        </w:rPr>
      </w:pPr>
    </w:p>
    <w:p w:rsidR="005834E9" w:rsidRPr="00BA1047" w:rsidRDefault="00B87C59" w:rsidP="00BA1047">
      <w:pPr>
        <w:ind w:firstLine="0"/>
        <w:rPr>
          <w:color w:val="FF0000"/>
          <w:lang w:val="en-US"/>
        </w:rPr>
      </w:pPr>
      <w:r w:rsidRPr="00BA1047">
        <w:rPr>
          <w:lang w:val="en-US"/>
        </w:rPr>
        <w:br w:type="page"/>
      </w:r>
    </w:p>
    <w:p w:rsidR="005834E9" w:rsidRDefault="005834E9" w:rsidP="00F152C1">
      <w:pPr>
        <w:pStyle w:val="Numeroimatonotsikko"/>
        <w:rPr>
          <w:lang w:val="en-US"/>
        </w:rPr>
      </w:pPr>
      <w:bookmarkStart w:id="0" w:name="_GoBack"/>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r w:rsidRPr="000B4F95">
        <w:rPr>
          <w:lang w:val="fr-FR"/>
        </w:rPr>
        <w:t>Creemers,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lastRenderedPageBreak/>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bookmarkEnd w:id="0"/>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D17" w:rsidRDefault="00595D17" w:rsidP="00E6009A">
      <w:r>
        <w:separator/>
      </w:r>
    </w:p>
  </w:endnote>
  <w:endnote w:type="continuationSeparator" w:id="0">
    <w:p w:rsidR="00595D17" w:rsidRDefault="00595D17"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D17" w:rsidRDefault="00595D17" w:rsidP="00E6009A">
      <w:r>
        <w:separator/>
      </w:r>
    </w:p>
  </w:footnote>
  <w:footnote w:type="continuationSeparator" w:id="0">
    <w:p w:rsidR="00595D17" w:rsidRDefault="00595D17"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1"/>
  </w:num>
  <w:num w:numId="14">
    <w:abstractNumId w:val="14"/>
  </w:num>
  <w:num w:numId="15">
    <w:abstractNumId w:val="13"/>
  </w:num>
  <w:num w:numId="16">
    <w:abstractNumId w:val="18"/>
  </w:num>
  <w:num w:numId="17">
    <w:abstractNumId w:val="16"/>
  </w:num>
  <w:num w:numId="18">
    <w:abstractNumId w:val="19"/>
  </w:num>
  <w:num w:numId="19">
    <w:abstractNumId w:val="12"/>
  </w:num>
  <w:num w:numId="20">
    <w:abstractNumId w:val="1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2451F"/>
    <w:rsid w:val="00042F3B"/>
    <w:rsid w:val="0004625F"/>
    <w:rsid w:val="0005098B"/>
    <w:rsid w:val="00062D51"/>
    <w:rsid w:val="00066042"/>
    <w:rsid w:val="0006628B"/>
    <w:rsid w:val="00070153"/>
    <w:rsid w:val="00073461"/>
    <w:rsid w:val="000B4F95"/>
    <w:rsid w:val="000C4860"/>
    <w:rsid w:val="000D62EE"/>
    <w:rsid w:val="000E4C42"/>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E2959"/>
    <w:rsid w:val="001F058D"/>
    <w:rsid w:val="002006EA"/>
    <w:rsid w:val="00202B5F"/>
    <w:rsid w:val="002059AD"/>
    <w:rsid w:val="002067F9"/>
    <w:rsid w:val="00207DD7"/>
    <w:rsid w:val="00223A03"/>
    <w:rsid w:val="00230542"/>
    <w:rsid w:val="002340CE"/>
    <w:rsid w:val="002570B7"/>
    <w:rsid w:val="0026547E"/>
    <w:rsid w:val="002747E5"/>
    <w:rsid w:val="00275825"/>
    <w:rsid w:val="00276592"/>
    <w:rsid w:val="00291AC4"/>
    <w:rsid w:val="0029221D"/>
    <w:rsid w:val="002A32E2"/>
    <w:rsid w:val="002A62D5"/>
    <w:rsid w:val="002C0956"/>
    <w:rsid w:val="002C2623"/>
    <w:rsid w:val="002D029B"/>
    <w:rsid w:val="002D17A6"/>
    <w:rsid w:val="002D1890"/>
    <w:rsid w:val="002D61BA"/>
    <w:rsid w:val="002F20BD"/>
    <w:rsid w:val="0030532A"/>
    <w:rsid w:val="0031032D"/>
    <w:rsid w:val="00322AB7"/>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95D17"/>
    <w:rsid w:val="005A4680"/>
    <w:rsid w:val="005D196A"/>
    <w:rsid w:val="005D258D"/>
    <w:rsid w:val="005F0461"/>
    <w:rsid w:val="005F2624"/>
    <w:rsid w:val="005F6770"/>
    <w:rsid w:val="006067C6"/>
    <w:rsid w:val="00630C6C"/>
    <w:rsid w:val="00635AD1"/>
    <w:rsid w:val="00663F70"/>
    <w:rsid w:val="006713F1"/>
    <w:rsid w:val="00685614"/>
    <w:rsid w:val="00685FD3"/>
    <w:rsid w:val="006949B5"/>
    <w:rsid w:val="006959D6"/>
    <w:rsid w:val="006A1414"/>
    <w:rsid w:val="006A402C"/>
    <w:rsid w:val="006A72DF"/>
    <w:rsid w:val="006B5BEF"/>
    <w:rsid w:val="006B70EF"/>
    <w:rsid w:val="007040AD"/>
    <w:rsid w:val="00710513"/>
    <w:rsid w:val="007262D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B7731"/>
    <w:rsid w:val="008C20B3"/>
    <w:rsid w:val="008D34E7"/>
    <w:rsid w:val="008D5131"/>
    <w:rsid w:val="008F06CC"/>
    <w:rsid w:val="008F5B54"/>
    <w:rsid w:val="00900134"/>
    <w:rsid w:val="00936A3A"/>
    <w:rsid w:val="0094200D"/>
    <w:rsid w:val="00961ACD"/>
    <w:rsid w:val="00962200"/>
    <w:rsid w:val="00973EFD"/>
    <w:rsid w:val="00974DB6"/>
    <w:rsid w:val="009813EB"/>
    <w:rsid w:val="0098371D"/>
    <w:rsid w:val="009A0F5B"/>
    <w:rsid w:val="009A402C"/>
    <w:rsid w:val="009B7784"/>
    <w:rsid w:val="00A0340E"/>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47E2"/>
    <w:rsid w:val="00B15E5A"/>
    <w:rsid w:val="00B30C99"/>
    <w:rsid w:val="00B3509B"/>
    <w:rsid w:val="00B351B5"/>
    <w:rsid w:val="00B41A6B"/>
    <w:rsid w:val="00B41DCD"/>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96582"/>
    <w:rsid w:val="00CA4F53"/>
    <w:rsid w:val="00CB29E0"/>
    <w:rsid w:val="00CB4969"/>
    <w:rsid w:val="00CF4AA7"/>
    <w:rsid w:val="00D01410"/>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43FF9"/>
    <w:rsid w:val="00E556BD"/>
    <w:rsid w:val="00E6009A"/>
    <w:rsid w:val="00E645E2"/>
    <w:rsid w:val="00E76C73"/>
    <w:rsid w:val="00E77806"/>
    <w:rsid w:val="00E8419A"/>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70446"/>
    <w:rsid w:val="00F75359"/>
    <w:rsid w:val="00F93FD8"/>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2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01AF8-7AF0-4ED4-9297-F422E3A2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3231</Words>
  <Characters>18422</Characters>
  <Application>Microsoft Office Word</Application>
  <DocSecurity>0</DocSecurity>
  <Lines>153</Lines>
  <Paragraphs>43</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2017-01-23T12:24:00Z</dcterms:modified>
</cp:coreProperties>
</file>