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pStyle w:val="Style_2"/>
      </w:pPr>
      <w:r>
        <w:t>План повышения Retention платформы IT Resume</w:t>
      </w:r>
    </w:p>
    <w:p w14:paraId="03000000">
      <w:pPr>
        <w:pStyle w:val="Style_3"/>
      </w:pPr>
      <w:r>
        <w:t>Итоговый аналитический отчёт • SQL / продуктовая аналитика</w:t>
      </w:r>
    </w:p>
    <w:p w14:paraId="04000000">
      <w:r>
        <w:t>Исследуемый период регистраций: 01.11.2021–25.03.2022. Исторические данные платформы: 2021–2022 гг.</w:t>
      </w:r>
    </w:p>
    <w:p w14:paraId="05000000">
      <w:r>
        <w:t>Статус: основные показатели Retention, ранней учебной активности, регистраций и бонусных операций повторно сверены с результатами SQL-запросов в PostgreSQL. Вспомогательные расчёты и ограничения данных требуют отдельной проверки.</w:t>
      </w:r>
    </w:p>
    <w:p w14:paraId="06000000">
      <w:pPr>
        <w:pStyle w:val="Style_4"/>
      </w:pPr>
      <w:r>
        <w:t>1. Короткое саммари</w:t>
      </w:r>
    </w:p>
    <w:p w14:paraId="07000000">
      <w:r>
        <w:t>Цель проекта — выявить, на каком этапе IT Resume теряет пользователей, определить поведенческие признаки долгосрочного удержания и предложить измеримые продуктовые эксперименты. Анализ проведён на исторической базе, а не на текущем потоке пользователей.</w:t>
      </w:r>
    </w:p>
    <w:p w14:paraId="08000000">
      <w:r>
        <w:t>Основная метрика — Retention D30–D59: доля зарегистрированных, совершивших хотя бы одно событие посещения или обучения в интервале от 30 до 60 суток после регистрации. Она отражает возвращение после первоначального знакомства и позволяет исключить пересечение с первой неделей. Дополнительные метрики — календарный когортный M1 Retention, MAU, активация в D0, повторное обучение в первую неделю и охват мотивационных механик.</w:t>
      </w:r>
    </w:p>
    <w:p w14:paraId="09000000">
      <w:r>
        <w:t>Логика исследования: проверка качества источников → динамика регистраций и активности → когортный Retention → ранние учебные действия → устойчивость связи внутри когорт → исследование существующих бонусов → сценарии изменений и A/B-тест.</w:t>
      </w:r>
    </w:p>
    <w:p w14:paraId="0A000000">
      <w:r>
        <w:t>Главный результат: из 1 439 пользователей, учившихся в первые 24 часа, 1 231 (85,55%) не совершили повторного учебного действия до конца первой недели. У вернувшихся на D1 Retention D30–D59 равен 37,50%, у вернувшихся на D2–D6 — 29,81%, у не вернувшихся — 7,23%. Это не является доказательством причинного эффекта.</w:t>
      </w:r>
    </w:p>
    <w:p w14:paraId="0B000000">
      <w:r>
        <w:t>Рекомендация: в первую очередь тестировать персонализированное продолжение обучения после первой задачи и сценарий возвращения после перерыва. Основной KPI эксперимента — Retention D30–D59; ранняя повторная учебная активность — вторичная метрика.</w:t>
      </w:r>
    </w:p>
    <w:p w14:paraId="0C000000">
      <w:pPr>
        <w:pStyle w:val="Style_4"/>
      </w:pPr>
      <w:r>
        <w:t>2. Методология и ограничения</w:t>
      </w:r>
    </w:p>
    <w:p w14:paraId="0D000000">
      <w:r>
        <w:t>Единица анализа — пользователь (users.id). Когорта для D30–D59: регистрации с 01.11.2021 по 25.03.2022 включительно, N=2 398; последняя дата наблюдения 24.05.2022 обеспечивает 60 суток для пользователей на верхней границе. Обучение: coderun, codesubmit, teststart, testresult. Возвращение: userentry либо любое из учебных событий. Интервалы D0–D6 определяются последовательными 24-часовыми периодами от date_joined, не календарными днями.</w:t>
      </w:r>
    </w:p>
    <w:p w14:paraId="0E000000">
      <w:r>
        <w:t>Ограничения: в userentry 911 из 7 995 событий (11,39%) относятся к 414 user_id, отсутствующим в users; особенно существенна неполнота мая 2022. Поэтому показатели посещаемости и M1 последних когорт могут быть занижены. Нет внешнего подтверждения семантики is_false и денежных единиц transaction.value. Результаты носят наблюдательный характер. Отсутствие внешних ключей требует проверок соединений.</w:t>
      </w:r>
    </w:p>
    <w:p w14:paraId="0F000000">
      <w:r>
        <w:t>Статус SQL: повторно проверены результаты запросов по регистрациям, календарному M1 Retention, D30–D59, регулярности обучения, когортной устойчивости связи, активности D0–D6, повторному обучению и системе поощрений. SQL-тексты восстановлены по схеме проекта; для полной воспроизводимости остаётся проверить вспомогательные показатели (в том числе MAU и гипотезы H1, H3, H4), зафиксировать версию базы и семантику отдельных полей.</w:t>
      </w:r>
    </w:p>
    <w:p w14:paraId="10000000">
      <w:pPr>
        <w:pStyle w:val="Style_4"/>
      </w:pPr>
      <w:r>
        <w:t>3. Содержательная часть</w:t>
      </w:r>
    </w:p>
    <w:p w14:paraId="11000000">
      <w:pPr>
        <w:pStyle w:val="Style_5"/>
      </w:pPr>
      <w:r>
        <w:t>3.1. Проверка соответствия событий посещений пользователям</w:t>
      </w:r>
    </w:p>
    <w:p w14:paraId="12000000">
      <w:r>
        <w:t>Цель: Определить масштаб нестыковок между userentry и users.</w:t>
      </w:r>
    </w:p>
    <w:p w14:paraId="13000000"/>
    <w:p w14:paraId="14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COUNT(*) AS events_total,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COUNT(*) FILTER (WHERE u.id IS NULL) AS unmatched_events,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COUNT(DISTINCT e.user_id) FILTER (WHERE u.id IS NULL) AS unmatched_ids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public.userentry 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LEFT JOIN public.users u ON u.id = e.user_id;</w:t>
      </w:r>
    </w:p>
    <w:p w14:paraId="15000000"/>
    <w:p w14:paraId="16000000">
      <w:r>
        <w:t>Результаты: 7 995 событий; 911 без пользователя; 414 различных отсутствующих user_id.</w:t>
      </w:r>
    </w:p>
    <w:p w14:paraId="17000000">
      <w:r>
        <w:t>Промежуточный вывод: Метрики на основе посещений необходимо интерпретировать с оговоркой о неполноте идентификаторов.</w:t>
      </w:r>
    </w:p>
    <w:p w14:paraId="18000000">
      <w:pPr>
        <w:pStyle w:val="Style_5"/>
      </w:pPr>
      <w:r>
        <w:t>3.2. Регистрации по месяцам</w:t>
      </w:r>
    </w:p>
    <w:p w14:paraId="19000000">
      <w:r>
        <w:t>Цель: Определить изменение притока новых пользователей.</w:t>
      </w:r>
    </w:p>
    <w:p w14:paraId="1A000000"/>
    <w:p w14:paraId="1B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date_trunc('month', date_joined)::date AS month,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COUNT(*) AS registrations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1 ORDER BY 1;</w:t>
      </w:r>
    </w:p>
    <w:p w14:paraId="1C000000"/>
    <w:p w14:paraId="1D000000">
      <w:r>
        <w:t>Результаты: Ноябрь 2021 — 210; декабрь — 132; январь 2022 — 602; февраль — 1 058; март — 479; апрель — 237 (месяц неполный).</w:t>
      </w:r>
    </w:p>
    <w:p>
      <w:pPr>
        <w:jc w:val="center"/>
      </w:pPr>
      <w:r>
        <w:drawing>
          <wp:inline>
            <wp:extent cx="5394960" cy="2260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1. Регистрации по месяцам; апрель неполный.</w:t>
      </w:r>
    </w:p>
    <w:p w14:paraId="1E000000">
      <w:r>
        <w:t>Промежуточный вывод: Приток новых пользователей существенно колеблется, поэтому изменение MAU нельзя автоматически считать ухудшением Retention.</w:t>
      </w:r>
    </w:p>
    <w:p w14:paraId="1F000000">
      <w:pPr>
        <w:pStyle w:val="Style_5"/>
      </w:pPr>
      <w:r>
        <w:t>3.3. MAU: новые и вернувшиеся</w:t>
      </w:r>
    </w:p>
    <w:p w14:paraId="20000000">
      <w:r>
        <w:t>Цель: Разделить месячную активность на пользователей, зарегистрированных в текущем и более ранних месяцах.</w:t>
      </w:r>
    </w:p>
    <w:p w14:paraId="21000000">
      <w:pPr>
        <w:widowControl w:val="1"/>
        <w:spacing w:after="140" w:before="80"/>
        <w:ind/>
      </w:pPr>
    </w:p>
    <w:p w14:paraId="22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monthly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u.id, date_trunc('month',e.entry_at)::date AS month,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date_trunc('month',u.date_joined)::date AS registration_month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public.userentry e JOIN public.users u ON u.id=e.user_id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month, COUNT(*) AS mau,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registration_month=month) AS new_active,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registration_month&lt;month) AS returning_active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monthly GROUP BY month ORDER BY month;</w:t>
      </w:r>
    </w:p>
    <w:p w14:paraId="23000000"/>
    <w:p w14:paraId="24000000">
      <w:r>
        <w:t>Результаты: Февраль 2022: MAU 1 061, новые активные 888, вернувшиеся 173; март: MAU 575, новые 412, вернувшиеся 163.</w:t>
      </w:r>
    </w:p>
    <w:p w14:paraId="25000000">
      <w:r>
        <w:t>Промежуточный вывод: Снижение MAU на 486 сопровождалось снижением новых активных на 476; основной вклад в изменение MAU связан с притоком, а не доказанным массовым уходом прежних пользователей.</w:t>
      </w:r>
    </w:p>
    <w:p w14:paraId="26000000">
      <w:pPr>
        <w:pStyle w:val="Style_5"/>
      </w:pPr>
      <w:r>
        <w:t>3.4. Когортный M1 Retention</w:t>
      </w:r>
    </w:p>
    <w:p w14:paraId="27000000">
      <w:r>
        <w:t>Цель: Оценить возвращение в календарном месяце, следующем за месяцем регистрации.</w:t>
      </w:r>
    </w:p>
    <w:p w14:paraId="28000000"/>
    <w:p w14:paraId="29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cohorts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 date_trunc('month',date_joined)::date AS cohort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next_month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c.id,c.cohort FROM cohorts c JOIN public.userentry 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ON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date_trunc('month',e.entry_at)=c.cohort+INTERVAL '1 month'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c.cohort,COUNT(*) AS cohort_size,COUNT(n.id) AS retained,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ROUND(100.0*COUNT(n.id)/COUNT(*),2) AS retention_pct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cohorts c LEFT JOIN next_month n ON n.id=c.id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c.cohort ORDER BY c.cohort;</w:t>
      </w:r>
    </w:p>
    <w:p w14:paraId="2A000000"/>
    <w:p w14:paraId="2B000000">
      <w:r>
        <w:t>Результаты: Ноябрь 37,62%; декабрь 23,48%; январь 18,44%; февраль 7,75%; март 11,90%; апрель 14,35% (наблюдение и посещения неполны).</w:t>
      </w:r>
    </w:p>
    <w:p>
      <w:pPr>
        <w:jc w:val="center"/>
      </w:pPr>
      <w:r>
        <w:drawing>
          <wp:inline>
            <wp:extent cx="5394960" cy="2260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2. M1 Retention по календарным когортам; поздние когорты имеют ограничения данных.</w:t>
      </w:r>
    </w:p>
    <w:p w14:paraId="2C000000">
      <w:r>
        <w:t>Промежуточный вывод: Календарный M1 Retention снизился к февралю; последние когорты требуют особой осторожности из-за качества userentry.</w:t>
      </w:r>
    </w:p>
    <w:p w14:paraId="2D000000">
      <w:pPr>
        <w:pStyle w:val="Style_5"/>
      </w:pPr>
      <w:r>
        <w:t>3.5. Базовый Retention D30–D59</w:t>
      </w:r>
    </w:p>
    <w:p w14:paraId="2E000000">
      <w:r>
        <w:t>Цель: Получить единую долгосрочную метрику для сопоставления гипотез.</w:t>
      </w:r>
    </w:p>
    <w:p w14:paraId="2F000000">
      <w:pPr>
        <w:widowControl w:val="1"/>
        <w:spacing w:after="140" w:before="80"/>
        <w:ind/>
      </w:pPr>
    </w:p>
    <w:p w14:paraId="30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 &gt;= DATE '2021-11-01' AND date_joined &lt; 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events e WHERE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e.ts&gt;=c.date_joined+INTERVAL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e.ts&lt;c.date_joined+INTERVAL '60 days')) AS retained_users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cohort c;</w:t>
      </w:r>
    </w:p>
    <w:p w14:paraId="31000000"/>
    <w:p w14:paraId="32000000">
      <w:r>
        <w:t>Результаты: 2 398 пользователей, 227 вернувшихся; 9,47%.</w:t>
      </w:r>
    </w:p>
    <w:p w14:paraId="33000000">
      <w:r>
        <w:t>Промежуточный вывод: Выбран базовый KPI для будущего эксперимента; 9,47% — исторический ориентир, не текущая метрика.</w:t>
      </w:r>
    </w:p>
    <w:p w14:paraId="34000000">
      <w:pPr>
        <w:pStyle w:val="Style_5"/>
      </w:pPr>
      <w:r>
        <w:t>3.6. Регулярность в первую неделю и D30–D59</w:t>
      </w:r>
    </w:p>
    <w:p w14:paraId="35000000">
      <w:r>
        <w:t>Цель: Проверить связь числа учебных дней с поздним возвращением.</w:t>
      </w:r>
    </w:p>
    <w:p w14:paraId="36000000">
      <w:pPr>
        <w:widowControl w:val="1"/>
        <w:spacing w:after="140" w:before="80"/>
        <w:ind/>
      </w:pPr>
    </w:p>
    <w:p w14:paraId="37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visits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features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FLOOR(EXTRACT(EPOCH FROM (l.created_at-c.date_joined))/86400)) AS learning_days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 LEFT JOIN learning l ON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 AND l.created_at&lt;c.date_joined+INTERVAL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GROUP BY c.id,c.date_joined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CASE WHEN learning_days&gt;=2 THEN '2+' ELSE '0–1' END AS group_name,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visits v WHERE v.user_id=f.id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v.ts&gt;=f.date_joined+INTERVAL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v.ts&lt;f.date_joined+INTERVAL '60 days'))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features f GROUP BY 1 ORDER BY 1;</w:t>
      </w:r>
    </w:p>
    <w:p w14:paraId="38000000"/>
    <w:p w14:paraId="39000000">
      <w:r>
        <w:t>Результаты: 0–1 учебный день: 2 171 пользователь, 148 вернулись (6,82%). 2+ дня: 227 пользователей, 79 вернулись (34,80%).</w:t>
      </w:r>
    </w:p>
    <w:p>
      <w:pPr>
        <w:jc w:val="center"/>
      </w:pPr>
      <w:r>
        <w:drawing>
          <wp:inline>
            <wp:extent cx="5394960" cy="2264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3. Наблюдательная связь ранней регулярности с D30–D59; не причинный эффект.</w:t>
      </w:r>
    </w:p>
    <w:p w14:paraId="3A000000">
      <w:r>
        <w:t>Промежуточный вывод: Регулярность связана с более высоким удержанием, но может отражать исходную мотивацию пользователей. Учебные дни определены как последовательные 24-часовые интервалы от регистрации; результаты повторно сверены в PostgreSQL.</w:t>
      </w:r>
    </w:p>
    <w:p w14:paraId="3B000000">
      <w:pPr>
        <w:pStyle w:val="Style_5"/>
      </w:pPr>
      <w:r>
        <w:t>3.7. Устойчивость связи по когортам</w:t>
      </w:r>
    </w:p>
    <w:p w14:paraId="3C000000">
      <w:r>
        <w:t>Цель: Проверить, не объясняется ли связь только одной когортой.</w:t>
      </w:r>
    </w:p>
    <w:p w14:paraId="3D000000"/>
    <w:p w14:paraId="3E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visits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features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FLOOR(EXTRACT(EPOCH FROM (l.created_at-c.date_joined))/86400)) AS learning_days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 LEFT JOIN learning l ON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 AND l.created_at&lt;c.date_joined+INTERVAL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GROUP BY c.id,c.date_joined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date_trunc('month',date_joined)::date AS cohort,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CASE WHEN learning_days&gt;=2 THEN '2+' ELSE '0–1' END AS group_name,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visits v WHERE v.user_id=f.id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v.ts&gt;=f.date_joined+INTERVAL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v.ts&lt;f.date_joined+INTERVAL '60 days'))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features f GROUP BY 1,2 ORDER BY 1,2;</w:t>
      </w:r>
    </w:p>
    <w:p w14:paraId="3F000000"/>
    <w:p w14:paraId="40000000">
      <w:r>
        <w:t>Результаты: Ноябрь: 21,95% vs 56,52%; декабрь: 17,24% vs 37,50%; январь: 6,73% vs 32,84%; февраль: 4,05% vs 26,76%; март: 4,34% vs 22,22% (0–1 день vs 2+).</w:t>
      </w:r>
    </w:p>
    <w:p w14:paraId="41000000">
      <w:r>
        <w:t>Промежуточный вывод: Направление связи сохраняется во всех пяти когортах. Запрос содержит полные CTE и может быть выполнен отдельно.</w:t>
      </w:r>
    </w:p>
    <w:p w14:paraId="42000000">
      <w:pPr>
        <w:pStyle w:val="Style_5"/>
      </w:pPr>
      <w:r>
        <w:t>3.8. Система поощрений</w:t>
      </w:r>
    </w:p>
    <w:p w14:paraId="43000000">
      <w:r>
        <w:t>Цель: Определить, какие бонусы реально используются.</w:t>
      </w:r>
    </w:p>
    <w:p w14:paraId="44000000"/>
    <w:p w14:paraId="45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tt.type,tt.description,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COUNT(t.id) AS transactions_count,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t.user_id) AS unique_users,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SUM(t.value) AS total_value,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MIN(t.created_at)::date AS first_transaction,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MAX(t.created_at)::date AS last_transaction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public.transactiontype tt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LEFT JOIN public.transaction t ON t.type_id=tt.type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tt.type,tt.description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ORDER BY transactions_count DESC,tt.type;</w:t>
      </w:r>
    </w:p>
    <w:p w14:paraId="46000000"/>
    <w:p w14:paraId="47000000">
      <w:r>
        <w:t>Результаты за весь доступный период: решение задачи — 7 485 операций, 692 пользователя; заход на платформу — 7 048 операций, 2 326 пользователей; регистрация — 2 382 операции, 2 380 пользователей. Награды за достижения: 5 задач — 288 начислений, 285 получателей; 15 задач — 191 и 191; 25 задач — 95 и 95; 100 задач — 6 и 6. Недельный марафон — 115 начислений, 62 получателя. Пополнение кошелька — 37 операций, 23 пользователя; покупка за рубли — 0.</w:t>
      </w:r>
    </w:p>
    <w:p w14:paraId="48000000">
      <w:r>
        <w:t>Промежуточный вывод: На платформе уже действуют механики геймификации — бонусы за посещения, решение задач, достижение порогов в 5, 15, 25 и 100 задач и недельный марафон. По данным транзакций нельзя подтвердить денежную интерпретацию transaction.value или сделать вывод о причинном влиянии бонусов на удержание.</w:t>
      </w:r>
    </w:p>
    <w:p>
      <w:pPr/>
      <w:r>
        <w:t>Продуктовые рекомендации: (1) показывать прогресс до ближайшей награды за решение задач; (2) протестировать ненавязчивые напоминания о незавершённом марафоне; (3) поддержать возвращение к обучению после пропуска нескольких дней; (4) оценивать изменения в A/B-тесте по Retention D30–D59 и ранней повторной учебной активности.</w:t>
      </w:r>
    </w:p>
    <w:p>
      <w:pPr/>
      <w:r>
        <w:t>Интерпретация: число начислений и получателей выше относится ко всему периоду транзакций, а не к исследуемой когорте. Число получателей бонуса не равно числу участников механики: начавшие марафон без награды в этих данных не учитываются.</w:t>
      </w:r>
    </w:p>
    <w:p w14:paraId="49000000">
      <w:pPr>
        <w:pStyle w:val="Style_5"/>
      </w:pPr>
      <w:r>
        <w:t>3.9. Марафон в первую неделю</w:t>
      </w:r>
    </w:p>
    <w:p w14:paraId="4A000000">
      <w:r>
        <w:t>Цель: Определить долю новичков с ранним начислением бонуса.</w:t>
      </w:r>
    </w:p>
    <w:p w14:paraId="4B000000"/>
    <w:p w14:paraId="4C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COUNT(DISTINCT u.id) AS total_users,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u.id) FILTER (WHERE t.id IS NOT NULL) AS marathon_users,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COUNT(t.id) AS marathon_transactions,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ROUND(100.0*COUNT(DISTINCT u.id) FILTER (WHERE t.id IS NOT NULL)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/NULLIF(COUNT(DISTINCT u.id),0),2) AS marathon_share_pct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public.users u LEFT JOIN public.transaction 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ON t.user_id=u.id AND t.type_id=5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t.created_at&gt;=u.date_joined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t.created_at&lt;u.date_joined+INTERVAL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WHERE u.date_joined&gt;=DATE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u.date_joined&lt;DATE '2022-03-26';</w:t>
      </w:r>
    </w:p>
    <w:p w14:paraId="4D000000"/>
    <w:p w14:paraId="4E000000">
      <w:r>
        <w:t>Результаты: 2 398 пользователей; 16 получателей; 16 начислений; охват 0,67%. За весь последующий период 48 из 2 398 (2,00%) получили хотя бы одно начисление.</w:t>
      </w:r>
    </w:p>
    <w:p w14:paraId="4F000000">
      <w:r>
        <w:t>Промежуточный вывод: Низкий охват не доказывает слабую эффективность механики: неизвестны условия и фактическое число попыток.</w:t>
      </w:r>
    </w:p>
    <w:p w14:paraId="50000000">
      <w:pPr>
        <w:pStyle w:val="Style_5"/>
      </w:pPr>
      <w:r>
        <w:t>3.10. Учебная активность по дням</w:t>
      </w:r>
    </w:p>
    <w:p w14:paraId="51000000">
      <w:r>
        <w:t>Цель: Измерить активность в каждом из первых семи 24-часовых интервалов.</w:t>
      </w:r>
    </w:p>
    <w:p w14:paraId="52000000">
      <w:pPr>
        <w:widowControl w:val="1"/>
        <w:spacing w:after="140" w:before="80"/>
        <w:ind/>
      </w:pPr>
    </w:p>
    <w:p w14:paraId="53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learning_events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user_activity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u.id AS user_id,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FLOOR(EXTRACT(EPOCH FROM (l.created_at-u.date_joined))/86400)::integer AS day_number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public.users u JOIN learning_events l ON l.user_id=u.id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l.created_at&gt;=u.date_joined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l.created_at&lt;u.date_joined+INTERVAL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u.date_joined&gt;=DATE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u.date_joined&lt;DATE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day_number,COUNT(DISTINCT user_id) AS active_users,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ROUND(100.0*COUNT(DISTINCT user_id)/2398,2) AS share_pct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user_activity GROUP BY day_number ORDER BY day_number;</w:t>
      </w:r>
    </w:p>
    <w:p w14:paraId="54000000"/>
    <w:p w14:paraId="55000000">
      <w:r>
        <w:t>Результаты: D0: 1 439 (60,01%); D1: 130 (5,42%); D2: 85 (3,54%); D3: 75 (3,13%); D4: 62 (2,59%); D5: 67 (2,79%); D6: 53 (2,21%).</w:t>
      </w:r>
    </w:p>
    <w:p>
      <w:pPr>
        <w:jc w:val="center"/>
      </w:pPr>
      <w:r>
        <w:drawing>
          <wp:inline>
            <wp:extent cx="5394960" cy="2264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4. Доли всей когорты по независимым 24-часовым интервалам.</w:t>
      </w:r>
    </w:p>
    <w:p w14:paraId="56000000">
      <w:r>
        <w:t>Промежуточный вывод: Дневные показатели — независимые доли всей когорты, не последовательное выбывание. Следует анализировать пересечение пользователей между днями.</w:t>
      </w:r>
    </w:p>
    <w:p w14:paraId="57000000">
      <w:pPr>
        <w:pStyle w:val="Style_5"/>
      </w:pPr>
      <w:r>
        <w:t>3.11. Возвращение после D0 и Retention</w:t>
      </w:r>
    </w:p>
    <w:p w14:paraId="58000000">
      <w:r>
        <w:t>Цель: Сравнить долгосрочное удержание пользователей с разными сценариями первой недели.</w:t>
      </w:r>
    </w:p>
    <w:p w14:paraId="59000000"/>
    <w:p w14:paraId="5A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flags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'1 day') AS d0,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l.created_at&gt;=c.date_joined+INTERVAL '1 day'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'2 days') AS d1,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l.created_at&gt;=c.date_joined+INTERVAL '2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'7 days') AS d2_d6,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events e WHERE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e.ts&gt;=c.date_joined+INTERVAL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e.ts&lt;c.date_joined+INTERVAL '60 days')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CASE WHEN d1 THEN 'D1'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WHEN d2_d6 THEN 'D2–D6 после пропуска D1'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ELSE 'Нет повторного обучения' END AS segment,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FILTER(WHERE retained) AS retained_users,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ROUND(100.0*COUNT(*) FILTER(WHERE retained)/COUNT(*),2) AS retention_pct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flags WHERE d0 GROUP BY 1 ORDER BY 1;</w:t>
      </w:r>
    </w:p>
    <w:p w14:paraId="5B000000"/>
    <w:p w14:paraId="5C000000">
      <w:r>
        <w:t>Результаты: D1: 104 / 39 / 37,50%; D2–D6 после пропуска D1: 104 / 31 / 29,81%; без повторного обучения: 1 231 / 89 / 7,23%. Всего 1 439 активных в D0.</w:t>
      </w:r>
    </w:p>
    <w:p>
      <w:pPr>
        <w:jc w:val="center"/>
      </w:pPr>
      <w:r>
        <w:drawing>
          <wp:inline>
            <wp:extent cx="5394960" cy="2264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5. Retention в трёх непересекающихся группах пользователей, активных в D0.</w:t>
      </w:r>
    </w:p>
    <w:p w14:paraId="5D000000">
      <w:r>
        <w:t>Промежуточный вывод: Повторное обучение связано с более высоким поздним Retention; не следует приписывать различие исключительно напоминаниям.</w:t>
      </w:r>
    </w:p>
    <w:p w14:paraId="5E000000">
      <w:pPr>
        <w:pStyle w:val="Style_4"/>
      </w:pPr>
      <w:r>
        <w:t>4. Гипотезы и степень подтверждения</w:t>
      </w:r>
    </w:p>
    <w:tbl>
      <w:tblPr>
        <w:tblStyle w:val="Style_6"/>
        <w:tblW w:type="auto" w:w="0"/>
        <w:jc w:val="center"/>
        <w:tblLayout w:type="fixed"/>
      </w:tblPr>
      <w:tblGrid>
        <w:gridCol w:w="3258"/>
        <w:gridCol w:w="3258"/>
        <w:gridCol w:w="3258"/>
      </w:tblGrid>
      <w:tr>
        <w:tc>
          <w:tcPr>
            <w:tcW w:type="dxa" w:w="3258"/>
          </w:tcPr>
          <w:p w14:paraId="5F000000">
            <w:r>
              <w:t>Гипотеза</w:t>
            </w:r>
          </w:p>
        </w:tc>
        <w:tc>
          <w:tcPr>
            <w:tcW w:type="dxa" w:w="3258"/>
          </w:tcPr>
          <w:p w14:paraId="60000000">
            <w:r>
              <w:t>Наблюдение</w:t>
            </w:r>
          </w:p>
        </w:tc>
        <w:tc>
          <w:tcPr>
            <w:tcW w:type="dxa" w:w="3258"/>
          </w:tcPr>
          <w:p w14:paraId="61000000">
            <w:r>
              <w:t>Статус</w:t>
            </w:r>
          </w:p>
        </w:tc>
      </w:tr>
      <w:tr>
        <w:tc>
          <w:tcPr>
            <w:tcW w:type="dxa" w:w="3258"/>
          </w:tcPr>
          <w:p w14:paraId="62000000">
            <w:r>
              <w:t>H1. Учебная активация в D0 связана с M1</w:t>
            </w:r>
          </w:p>
        </w:tc>
        <w:tc>
          <w:tcPr>
            <w:tcW w:type="dxa" w:w="3258"/>
          </w:tcPr>
          <w:p w14:paraId="63000000">
            <w:r>
              <w:t>15,53% против 13,21% в объединённых когортах; в марте знак обратный</w:t>
            </w:r>
          </w:p>
        </w:tc>
        <w:tc>
          <w:tcPr>
            <w:tcW w:type="dxa" w:w="3258"/>
          </w:tcPr>
          <w:p w14:paraId="64000000">
            <w:r>
              <w:t>Слабая/неоднородная поддержка</w:t>
            </w:r>
          </w:p>
        </w:tc>
      </w:tr>
      <w:tr>
        <w:tc>
          <w:tcPr>
            <w:tcW w:type="dxa" w:w="3258"/>
          </w:tcPr>
          <w:p w14:paraId="65000000">
            <w:r>
              <w:t>H2. Повторные учебные дни связаны с D30–D59</w:t>
            </w:r>
          </w:p>
        </w:tc>
        <w:tc>
          <w:tcPr>
            <w:tcW w:type="dxa" w:w="3258"/>
          </w:tcPr>
          <w:p w14:paraId="66000000">
            <w:r>
              <w:t>34,80% против 6,82%; направление одинаково по пяти когортам</w:t>
            </w:r>
          </w:p>
        </w:tc>
        <w:tc>
          <w:tcPr>
            <w:tcW w:type="dxa" w:w="3258"/>
          </w:tcPr>
          <w:p w14:paraId="67000000">
            <w:r>
              <w:t>Сильная наблюдательная связь</w:t>
            </w:r>
          </w:p>
        </w:tc>
      </w:tr>
      <w:tr>
        <w:tc>
          <w:tcPr>
            <w:tcW w:type="dxa" w:w="3258"/>
          </w:tcPr>
          <w:p w14:paraId="68000000">
            <w:r>
              <w:t>H3. Решение задач/отправка кода связаны с удержанием</w:t>
            </w:r>
          </w:p>
        </w:tc>
        <w:tc>
          <w:tcPr>
            <w:tcW w:type="dxa" w:w="3258"/>
          </w:tcPr>
          <w:p w14:paraId="69000000">
            <w:r>
              <w:t>При coderun 21,57% против 4,84%; при codesubmit 22,37% против 4,60%</w:t>
            </w:r>
          </w:p>
        </w:tc>
        <w:tc>
          <w:tcPr>
            <w:tcW w:type="dxa" w:w="3258"/>
          </w:tcPr>
          <w:p w14:paraId="6A000000">
            <w:r>
              <w:t>Поддержана как ассоциация</w:t>
            </w:r>
          </w:p>
        </w:tc>
      </w:tr>
      <w:tr>
        <w:tc>
          <w:tcPr>
            <w:tcW w:type="dxa" w:w="3258"/>
          </w:tcPr>
          <w:p w14:paraId="6B000000">
            <w:r>
              <w:t>H4. Успех в первой неделе сам по себе повышает Retention</w:t>
            </w:r>
          </w:p>
        </w:tc>
        <w:tc>
          <w:tcPr>
            <w:tcW w:type="dxa" w:w="3258"/>
          </w:tcPr>
          <w:p w14:paraId="6C000000">
            <w:r>
              <w:t>После стратификации по учебным дням OR≈1,69; p≈0,077</w:t>
            </w:r>
          </w:p>
        </w:tc>
        <w:tc>
          <w:tcPr>
            <w:tcW w:type="dxa" w:w="3258"/>
          </w:tcPr>
          <w:p w14:paraId="6D000000">
            <w:r>
              <w:t>Недостаточно доказательств при α=0,05</w:t>
            </w:r>
          </w:p>
        </w:tc>
      </w:tr>
      <w:tr>
        <w:tc>
          <w:tcPr>
            <w:tcW w:type="dxa" w:w="3258"/>
          </w:tcPr>
          <w:p w14:paraId="6E000000">
            <w:r>
              <w:t>H5. Напоминания и рекомендации повысят Retention</w:t>
            </w:r>
          </w:p>
        </w:tc>
        <w:tc>
          <w:tcPr>
            <w:tcW w:type="dxa" w:w="3258"/>
          </w:tcPr>
          <w:p w14:paraId="6F000000">
            <w:r>
              <w:t>Эксперимент не проводился</w:t>
            </w:r>
          </w:p>
        </w:tc>
        <w:tc>
          <w:tcPr>
            <w:tcW w:type="dxa" w:w="3258"/>
          </w:tcPr>
          <w:p w14:paraId="70000000">
            <w:r>
              <w:t>Не проверена причинно</w:t>
            </w:r>
          </w:p>
        </w:tc>
      </w:tr>
    </w:tbl>
    <w:p w14:paraId="71000000"/>
    <w:p w14:paraId="72000000">
      <w:r>
        <w:t>Сравнения групп наблюдательные; эффект самоотбора, мотивации и неодинаковой сложности задач не исключён. Для H4 значение is_false=0 трактовалось как успешная отправка предварительно, без независимого подтверждения.</w:t>
      </w:r>
    </w:p>
    <w:p w14:paraId="73000000">
      <w:pPr>
        <w:pStyle w:val="Style_4"/>
      </w:pPr>
      <w:r>
        <w:t>5. Предлагаемые бизнес-решения</w:t>
      </w:r>
    </w:p>
    <w:tbl>
      <w:tblPr>
        <w:tblStyle w:val="Style_6"/>
        <w:tblW w:type="auto" w:w="0"/>
        <w:jc w:val="center"/>
        <w:tblLayout w:type="fixed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 w14:paraId="74000000">
            <w:r>
              <w:t>Приоритет</w:t>
            </w:r>
          </w:p>
        </w:tc>
        <w:tc>
          <w:tcPr>
            <w:tcW w:type="dxa" w:w="2443"/>
          </w:tcPr>
          <w:p w14:paraId="75000000">
            <w:r>
              <w:t>Инициатива</w:t>
            </w:r>
          </w:p>
        </w:tc>
        <w:tc>
          <w:tcPr>
            <w:tcW w:type="dxa" w:w="2443"/>
          </w:tcPr>
          <w:p w14:paraId="76000000">
            <w:r>
              <w:t>Механика</w:t>
            </w:r>
          </w:p>
        </w:tc>
        <w:tc>
          <w:tcPr>
            <w:tcW w:type="dxa" w:w="2443"/>
          </w:tcPr>
          <w:p w14:paraId="77000000">
            <w:r>
              <w:t>Как измерять</w:t>
            </w:r>
          </w:p>
        </w:tc>
      </w:tr>
      <w:tr>
        <w:tc>
          <w:tcPr>
            <w:tcW w:type="dxa" w:w="2443"/>
          </w:tcPr>
          <w:p w14:paraId="78000000">
            <w:r>
              <w:t>P1</w:t>
            </w:r>
          </w:p>
        </w:tc>
        <w:tc>
          <w:tcPr>
            <w:tcW w:type="dxa" w:w="2443"/>
          </w:tcPr>
          <w:p w14:paraId="79000000">
            <w:r>
              <w:t>Следующая задача</w:t>
            </w:r>
          </w:p>
        </w:tc>
        <w:tc>
          <w:tcPr>
            <w:tcW w:type="dxa" w:w="2443"/>
          </w:tcPr>
          <w:p w14:paraId="7A000000">
            <w:r>
              <w:t>После первого занятия показать релевантную задачу и простой следующий шаг</w:t>
            </w:r>
          </w:p>
        </w:tc>
        <w:tc>
          <w:tcPr>
            <w:tcW w:type="dxa" w:w="2443"/>
          </w:tcPr>
          <w:p w14:paraId="7B000000">
            <w:r>
              <w:t>D30–D59; 2+ учебных дня</w:t>
            </w:r>
          </w:p>
        </w:tc>
      </w:tr>
      <w:tr>
        <w:tc>
          <w:tcPr>
            <w:tcW w:type="dxa" w:w="2443"/>
          </w:tcPr>
          <w:p w14:paraId="7C000000">
            <w:r>
              <w:t>P1</w:t>
            </w:r>
          </w:p>
        </w:tc>
        <w:tc>
          <w:tcPr>
            <w:tcW w:type="dxa" w:w="2443"/>
          </w:tcPr>
          <w:p w14:paraId="7D000000">
            <w:r>
              <w:t>Возврат после перерыва</w:t>
            </w:r>
          </w:p>
        </w:tc>
        <w:tc>
          <w:tcPr>
            <w:tcW w:type="dxa" w:w="2443"/>
          </w:tcPr>
          <w:p w14:paraId="7E000000">
            <w:r>
              <w:t>Через 24–72 часа без обучения — ненавязчивое напоминание и короткое задание</w:t>
            </w:r>
          </w:p>
        </w:tc>
        <w:tc>
          <w:tcPr>
            <w:tcW w:type="dxa" w:w="2443"/>
          </w:tcPr>
          <w:p w14:paraId="7F000000">
            <w:r>
              <w:t>D30–D59; возврат D1/D2–D6</w:t>
            </w:r>
          </w:p>
        </w:tc>
      </w:tr>
      <w:tr>
        <w:tc>
          <w:tcPr>
            <w:tcW w:type="dxa" w:w="2443"/>
          </w:tcPr>
          <w:p w14:paraId="80000000">
            <w:r>
              <w:t>P2</w:t>
            </w:r>
          </w:p>
        </w:tc>
        <w:tc>
          <w:tcPr>
            <w:tcW w:type="dxa" w:w="2443"/>
          </w:tcPr>
          <w:p w14:paraId="81000000">
            <w:r>
              <w:t>Недельный маршрут</w:t>
            </w:r>
          </w:p>
        </w:tc>
        <w:tc>
          <w:tcPr>
            <w:tcW w:type="dxa" w:w="2443"/>
          </w:tcPr>
          <w:p w14:paraId="82000000">
            <w:r>
              <w:t>Персональный план, индикатор прогресса, настройка сложности</w:t>
            </w:r>
          </w:p>
        </w:tc>
        <w:tc>
          <w:tcPr>
            <w:tcW w:type="dxa" w:w="2443"/>
          </w:tcPr>
          <w:p w14:paraId="83000000">
            <w:r>
              <w:t>D30–D59; завершение этапов</w:t>
            </w:r>
          </w:p>
        </w:tc>
      </w:tr>
      <w:tr>
        <w:tc>
          <w:tcPr>
            <w:tcW w:type="dxa" w:w="2443"/>
          </w:tcPr>
          <w:p w14:paraId="84000000">
            <w:r>
              <w:t>P3</w:t>
            </w:r>
          </w:p>
        </w:tc>
        <w:tc>
          <w:tcPr>
            <w:tcW w:type="dxa" w:w="2443"/>
          </w:tcPr>
          <w:p w14:paraId="85000000">
            <w:r>
              <w:t>Пересмотр марафона</w:t>
            </w:r>
          </w:p>
        </w:tc>
        <w:tc>
          <w:tcPr>
            <w:tcW w:type="dxa" w:w="2443"/>
          </w:tcPr>
          <w:p w14:paraId="86000000">
            <w:r>
              <w:t>Проверить правила начисления и причины низкого охвата; затем тестировать изменения</w:t>
            </w:r>
          </w:p>
        </w:tc>
        <w:tc>
          <w:tcPr>
            <w:tcW w:type="dxa" w:w="2443"/>
          </w:tcPr>
          <w:p w14:paraId="87000000">
            <w:r>
              <w:t>Охват, выполнение, D30–D59</w:t>
            </w:r>
          </w:p>
        </w:tc>
      </w:tr>
    </w:tbl>
    <w:p w14:paraId="88000000"/>
    <w:p w14:paraId="89000000">
      <w:r>
        <w:t>Предлагаемый A/B-тест: рандомизация при регистрации 50/50, контроль — текущая платформа, эксперимент — рекомендации и напоминания. Анализ intention-to-treat. Основной показатель: бинарный D30–D59. Вторичный: 2+ учебных дня в первые семь суток. Контрольные показатели: D0-активация, жалобы/отписки, ошибки доставки и качество учебных событий. Результаты смотреть после полного окна наблюдения, без преждевременного объявления победителя.</w:t>
      </w:r>
    </w:p>
    <w:p w14:paraId="8A000000">
      <w:r>
        <w:t>Для планирования использовались сценарии изменения D30–D59 с 9,47% до 13%, 15% и 18% (не прогнозы). Размер выборки должен быть повторно рассчитан и зафиксирован вместе с выбранным MDE до запуска эксперимента; сроки зависят от текущего, а не исторического трафика.</w:t>
      </w:r>
    </w:p>
    <w:p w14:paraId="8B000000">
      <w:pPr>
        <w:pStyle w:val="Style_4"/>
      </w:pPr>
      <w:r>
        <w:t>6. Сценарная оценка эффекта</w:t>
      </w:r>
    </w:p>
    <w:p w14:paraId="8C000000">
      <w:r>
        <w:t>Целевая группа: 1 231 пользователь, активный в D0, но без повторного обучения в D1–D6. Их исторический Retention 89/1 231 = 7,23%. Условная модель: доля дополнительно вовлечённых × изменение вероятности позднего возвращения относительно 7,23%. Это не причинный прогноз.</w:t>
      </w:r>
    </w:p>
    <w:tbl>
      <w:tblPr>
        <w:tblStyle w:val="Style_6"/>
        <w:tblW w:type="auto" w:w="0"/>
        <w:jc w:val="center"/>
        <w:tblLayout w:type="fixed"/>
      </w:tblPr>
      <w:tblGrid>
        <w:gridCol w:w="1955"/>
        <w:gridCol w:w="1955"/>
        <w:gridCol w:w="1955"/>
        <w:gridCol w:w="1955"/>
        <w:gridCol w:w="1955"/>
      </w:tblGrid>
      <w:tr>
        <w:tc>
          <w:tcPr>
            <w:tcW w:type="dxa" w:w="1955"/>
          </w:tcPr>
          <w:p w14:paraId="8D000000">
            <w:r>
              <w:t>Сценарий</w:t>
            </w:r>
          </w:p>
        </w:tc>
        <w:tc>
          <w:tcPr>
            <w:tcW w:type="dxa" w:w="1955"/>
          </w:tcPr>
          <w:p w14:paraId="8E000000">
            <w:r>
              <w:t>Вовлечённые дополнительно</w:t>
            </w:r>
          </w:p>
        </w:tc>
        <w:tc>
          <w:tcPr>
            <w:tcW w:type="dxa" w:w="1955"/>
          </w:tcPr>
          <w:p w14:paraId="8F000000">
            <w:r>
              <w:t>Предполагаемый Retention вовлечённых</w:t>
            </w:r>
          </w:p>
        </w:tc>
        <w:tc>
          <w:tcPr>
            <w:tcW w:type="dxa" w:w="1955"/>
          </w:tcPr>
          <w:p w14:paraId="90000000">
            <w:r>
              <w:t>Доп. удержанные</w:t>
            </w:r>
          </w:p>
        </w:tc>
        <w:tc>
          <w:tcPr>
            <w:tcW w:type="dxa" w:w="1955"/>
          </w:tcPr>
          <w:p w14:paraId="91000000">
            <w:r>
              <w:t>Retention всей когорты</w:t>
            </w:r>
          </w:p>
        </w:tc>
      </w:tr>
      <w:tr>
        <w:tc>
          <w:tcPr>
            <w:tcW w:type="dxa" w:w="1955"/>
          </w:tcPr>
          <w:p w14:paraId="92000000">
            <w:r>
              <w:t>Консервативный</w:t>
            </w:r>
          </w:p>
        </w:tc>
        <w:tc>
          <w:tcPr>
            <w:tcW w:type="dxa" w:w="1955"/>
          </w:tcPr>
          <w:p w14:paraId="93000000">
            <w:r>
              <w:t>5%</w:t>
            </w:r>
          </w:p>
        </w:tc>
        <w:tc>
          <w:tcPr>
            <w:tcW w:type="dxa" w:w="1955"/>
          </w:tcPr>
          <w:p w14:paraId="94000000">
            <w:r>
              <w:t>15%</w:t>
            </w:r>
          </w:p>
        </w:tc>
        <w:tc>
          <w:tcPr>
            <w:tcW w:type="dxa" w:w="1955"/>
          </w:tcPr>
          <w:p w14:paraId="95000000">
            <w:r>
              <w:t>≈5</w:t>
            </w:r>
          </w:p>
        </w:tc>
        <w:tc>
          <w:tcPr>
            <w:tcW w:type="dxa" w:w="1955"/>
          </w:tcPr>
          <w:p w14:paraId="96000000">
            <w:r>
              <w:t>≈9,68%</w:t>
            </w:r>
          </w:p>
        </w:tc>
      </w:tr>
      <w:tr>
        <w:tc>
          <w:tcPr>
            <w:tcW w:type="dxa" w:w="1955"/>
          </w:tcPr>
          <w:p w14:paraId="97000000">
            <w:r>
              <w:t>Базовый</w:t>
            </w:r>
          </w:p>
        </w:tc>
        <w:tc>
          <w:tcPr>
            <w:tcW w:type="dxa" w:w="1955"/>
          </w:tcPr>
          <w:p w14:paraId="98000000">
            <w:r>
              <w:t>10%</w:t>
            </w:r>
          </w:p>
        </w:tc>
        <w:tc>
          <w:tcPr>
            <w:tcW w:type="dxa" w:w="1955"/>
          </w:tcPr>
          <w:p w14:paraId="99000000">
            <w:r>
              <w:t>20%</w:t>
            </w:r>
          </w:p>
        </w:tc>
        <w:tc>
          <w:tcPr>
            <w:tcW w:type="dxa" w:w="1955"/>
          </w:tcPr>
          <w:p w14:paraId="9A000000">
            <w:r>
              <w:t>≈16</w:t>
            </w:r>
          </w:p>
        </w:tc>
        <w:tc>
          <w:tcPr>
            <w:tcW w:type="dxa" w:w="1955"/>
          </w:tcPr>
          <w:p w14:paraId="9B000000">
            <w:r>
              <w:t>≈10,14%</w:t>
            </w:r>
          </w:p>
        </w:tc>
      </w:tr>
      <w:tr>
        <w:tc>
          <w:tcPr>
            <w:tcW w:type="dxa" w:w="1955"/>
          </w:tcPr>
          <w:p w14:paraId="9C000000">
            <w:r>
              <w:t>Оптимистичный</w:t>
            </w:r>
          </w:p>
        </w:tc>
        <w:tc>
          <w:tcPr>
            <w:tcW w:type="dxa" w:w="1955"/>
          </w:tcPr>
          <w:p w14:paraId="9D000000">
            <w:r>
              <w:t>15%</w:t>
            </w:r>
          </w:p>
        </w:tc>
        <w:tc>
          <w:tcPr>
            <w:tcW w:type="dxa" w:w="1955"/>
          </w:tcPr>
          <w:p w14:paraId="9E000000">
            <w:r>
              <w:t>25%</w:t>
            </w:r>
          </w:p>
        </w:tc>
        <w:tc>
          <w:tcPr>
            <w:tcW w:type="dxa" w:w="1955"/>
          </w:tcPr>
          <w:p w14:paraId="9F000000">
            <w:r>
              <w:t>≈33</w:t>
            </w:r>
          </w:p>
        </w:tc>
        <w:tc>
          <w:tcPr>
            <w:tcW w:type="dxa" w:w="1955"/>
          </w:tcPr>
          <w:p w14:paraId="A0000000">
            <w:r>
              <w:t>≈10,85%</w:t>
            </w:r>
          </w:p>
        </w:tc>
      </w:tr>
    </w:tbl>
    <w:p w14:paraId="A1000000"/>
    <w:p w14:paraId="A2000000">
      <w:r>
        <w:t>Даже оптимистичный сценарий не достигает 15%. Поэтому 15% следует трактовать как стратегический ориентир, а не как обещанный результат одной инициативы.</w:t>
      </w:r>
    </w:p>
    <w:p w14:paraId="A3000000">
      <w:pPr>
        <w:pStyle w:val="Style_4"/>
      </w:pPr>
      <w:r>
        <w:t>7. Дорожная карта</w:t>
      </w:r>
    </w:p>
    <w:p w14:paraId="A4000000">
      <w:r>
        <w:t>Дни 1–30: аудит идентификаторов и событий, проверка логики марафона, согласование метрик и MDE, разработка рекомендаций, подготовка рандомизации.</w:t>
      </w:r>
    </w:p>
    <w:p w14:paraId="A5000000">
      <w:r>
        <w:t>Дни 31–60: запуск A/B-теста, мониторинг качества данных, стабильности назначения групп, ранних вторичных показателей и защитных метрик.</w:t>
      </w:r>
    </w:p>
    <w:p w14:paraId="A6000000">
      <w:r>
        <w:t>Дни 61–90: продолжение набора/наблюдения, проверка ранних сигналов, подготовка следующей итерации. Окончательный D30–D59 для последнего участника доступен только после 60 суток наблюдения; итог эксперимента может выйти за пределы 90 дней.</w:t>
      </w:r>
    </w:p>
    <w:p w14:paraId="A7000000">
      <w:pPr>
        <w:pStyle w:val="Style_4"/>
      </w:pPr>
      <w:r>
        <w:t>8. Финальные выводы</w:t>
      </w:r>
    </w:p>
    <w:p w14:paraId="A8000000">
      <w:r>
        <w:t>Удалось определить исторический базовый Retention D30–D59 (9,47%), локализовать проблему раннего повторного обучения, проверить устойчивость ассоциации между регулярностью и удержанием, изучить фактическое использование бонусов и подготовить измеримый план экспериментов.</w:t>
      </w:r>
    </w:p>
    <w:p w14:paraId="A9000000">
      <w:r>
        <w:t>Основная гипотеза о связи повторного обучения с удержанием получила сильную наблюдательную поддержку: среди активных в D0 Retention составляет 37,50% при возвращении на D1, 29,81% при возвращении на D2–D6 и 7,23% без повторного обучения. Причинное влияние продуктовых изменений ещё не установлено.</w:t>
      </w:r>
    </w:p>
    <w:p w14:paraId="AA000000">
      <w:r>
        <w:t>Рекомендуется приоритизировать персонализированное продолжение обучения и сценарий возвращения после перерыва, а существующий недельный марафон исследовать отдельно. Решение о масштабировании принимать только по результатам корректно спроектированного A/B-теста. До внедрения необходимо устранить или учесть неполноту идентификаторов событий и подтвердить актуальный трафик.</w:t>
      </w:r>
    </w:p>
    <w:p w14:paraId="AB000000">
      <w:pPr>
        <w:pStyle w:val="Style_4"/>
      </w:pPr>
      <w:r>
        <w:t>Приложение. Контрольный список воспроизводимости</w:t>
      </w:r>
    </w:p>
    <w:p w14:paraId="AC000000">
      <w:r>
        <w:t>Контрольный список дальнейшей воспроизводимости: (1) повторно проверить вспомогательные расчёты MAU, H1, H3, H4 и число получателей марафона за весь срок наблюдения в когорте; (2) уточнить смысл transaction.value и codesubmit.is_false; (3) зафиксировать дату выгрузки и версии схемы/SQL; (4) проверить ограничения полноты userentry и окна наблюдения поздних когорт; (5) пересчитать размер выборки и MDE перед реальным A/B-тестом. Основные показатели D30–D59, M1, ранней активности, регистраций и бонусных операций повторно сверены.</w:t>
      </w:r>
    </w:p>
    <w:sectPr>
      <w:footerReference r:id="rId1" w:type="default"/>
      <w:pgSz w:h="15840" w:orient="portrait" w:w="12240"/>
      <w:pgMar w:bottom="1134" w:footer="720" w:gutter="0" w:header="720" w:left="1276" w:right="1191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</w:pPr>
    <w:r>
      <w:t>IT Resume • Аналитический проект • Исторические данные 2021–2022</w:t>
    </w:r>
  </w:p>
</w:ftr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pStyle w:val="Style_19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1">
    <w:lvl w:ilvl="0">
      <w:start w:val="1"/>
      <w:numFmt w:val="decimal"/>
      <w:pStyle w:val="Style_26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abstractNum w:abstractNumId="2">
    <w:lvl w:ilvl="0">
      <w:start w:val="1"/>
      <w:numFmt w:val="bullet"/>
      <w:pStyle w:val="Style_33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3">
    <w:lvl w:ilvl="0">
      <w:start w:val="1"/>
      <w:numFmt w:val="decimal"/>
      <w:pStyle w:val="Style_47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4">
    <w:lvl w:ilvl="0">
      <w:start w:val="1"/>
      <w:numFmt w:val="bullet"/>
      <w:pStyle w:val="Style_50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5">
    <w:lvl w:ilvl="0">
      <w:start w:val="1"/>
      <w:numFmt w:val="decimal"/>
      <w:pStyle w:val="Style_55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7" w:type="paragraph">
    <w:name w:val="Normal"/>
    <w:link w:val="Style_7_ch"/>
    <w:uiPriority w:val="0"/>
    <w:qFormat/>
    <w:pPr>
      <w:widowControl w:val="1"/>
      <w:spacing w:after="120"/>
      <w:ind/>
    </w:pPr>
    <w:rPr>
      <w:rFonts w:ascii="Aptos" w:hAnsi="Aptos"/>
      <w:sz w:val="20"/>
    </w:rPr>
  </w:style>
  <w:style w:default="1" w:styleId="Style_7_ch" w:type="character">
    <w:name w:val="Normal"/>
    <w:link w:val="Style_7"/>
    <w:rPr>
      <w:rFonts w:ascii="Aptos" w:hAnsi="Aptos"/>
      <w:sz w:val="20"/>
    </w:rPr>
  </w:style>
  <w:style w:styleId="Style_8" w:type="paragraph">
    <w:name w:val="Body Text 2"/>
    <w:basedOn w:val="Style_7"/>
    <w:link w:val="Style_8_ch"/>
    <w:pPr>
      <w:widowControl w:val="1"/>
      <w:spacing w:after="120" w:line="480" w:lineRule="auto"/>
      <w:ind/>
    </w:pPr>
  </w:style>
  <w:style w:styleId="Style_8_ch" w:type="character">
    <w:name w:val="Body Text 2"/>
    <w:basedOn w:val="Style_7_ch"/>
    <w:link w:val="Style_8"/>
  </w:style>
  <w:style w:styleId="Style_9" w:type="paragraph">
    <w:name w:val="Book Title"/>
    <w:basedOn w:val="Style_10"/>
    <w:link w:val="Style_9_ch"/>
    <w:rPr>
      <w:b w:val="1"/>
      <w:smallCaps w:val="1"/>
      <w:spacing w:val="5"/>
    </w:rPr>
  </w:style>
  <w:style w:styleId="Style_9_ch" w:type="character">
    <w:name w:val="Book Title"/>
    <w:basedOn w:val="Style_10_ch"/>
    <w:link w:val="Style_9"/>
    <w:rPr>
      <w:b w:val="1"/>
      <w:smallCaps w:val="1"/>
      <w:spacing w:val="5"/>
    </w:rPr>
  </w:style>
  <w:style w:styleId="Style_11" w:type="paragraph">
    <w:name w:val="toc 2"/>
    <w:next w:val="Style_7"/>
    <w:link w:val="Style_11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1_ch" w:type="character">
    <w:name w:val="toc 2"/>
    <w:link w:val="Style_11"/>
    <w:rPr>
      <w:rFonts w:ascii="XO Thames" w:hAnsi="XO Thames"/>
      <w:sz w:val="28"/>
    </w:rPr>
  </w:style>
  <w:style w:styleId="Style_12" w:type="paragraph">
    <w:name w:val="toc 4"/>
    <w:next w:val="Style_7"/>
    <w:link w:val="Style_12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2_ch" w:type="character">
    <w:name w:val="toc 4"/>
    <w:link w:val="Style_12"/>
    <w:rPr>
      <w:rFonts w:ascii="XO Thames" w:hAnsi="XO Thames"/>
      <w:sz w:val="28"/>
    </w:rPr>
  </w:style>
  <w:style w:styleId="Style_13" w:type="paragraph">
    <w:name w:val="Intense Quote"/>
    <w:basedOn w:val="Style_7"/>
    <w:next w:val="Style_7"/>
    <w:link w:val="Style_13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13_ch" w:type="character">
    <w:name w:val="Intense Quote"/>
    <w:basedOn w:val="Style_7_ch"/>
    <w:link w:val="Style_13"/>
    <w:rPr>
      <w:b w:val="1"/>
      <w:i w:val="1"/>
      <w:color w:themeColor="accent1" w:val="4F81BD"/>
    </w:rPr>
  </w:style>
  <w:style w:styleId="Style_14" w:type="paragraph">
    <w:name w:val="heading 7"/>
    <w:basedOn w:val="Style_7"/>
    <w:next w:val="Style_7"/>
    <w:link w:val="Style_14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4_ch" w:type="character">
    <w:name w:val="heading 7"/>
    <w:basedOn w:val="Style_7_ch"/>
    <w:link w:val="Style_14"/>
    <w:rPr>
      <w:rFonts w:asciiTheme="majorAscii" w:hAnsiTheme="majorHAnsi"/>
      <w:i w:val="1"/>
      <w:color w:themeColor="text1" w:themeTint="BF" w:val="404040"/>
    </w:rPr>
  </w:style>
  <w:style w:styleId="Style_15" w:type="paragraph">
    <w:name w:val="toc 6"/>
    <w:next w:val="Style_7"/>
    <w:link w:val="Style_1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5_ch" w:type="character">
    <w:name w:val="toc 6"/>
    <w:link w:val="Style_15"/>
    <w:rPr>
      <w:rFonts w:ascii="XO Thames" w:hAnsi="XO Thames"/>
      <w:sz w:val="28"/>
    </w:rPr>
  </w:style>
  <w:style w:styleId="Style_16" w:type="paragraph">
    <w:name w:val="Intense Emphasis"/>
    <w:basedOn w:val="Style_10"/>
    <w:link w:val="Style_16_ch"/>
    <w:rPr>
      <w:b w:val="1"/>
      <w:i w:val="1"/>
      <w:color w:themeColor="accent1" w:val="4F81BD"/>
    </w:rPr>
  </w:style>
  <w:style w:styleId="Style_16_ch" w:type="character">
    <w:name w:val="Intense Emphasis"/>
    <w:basedOn w:val="Style_10_ch"/>
    <w:link w:val="Style_16"/>
    <w:rPr>
      <w:b w:val="1"/>
      <w:i w:val="1"/>
      <w:color w:themeColor="accent1" w:val="4F81BD"/>
    </w:rPr>
  </w:style>
  <w:style w:styleId="Style_17" w:type="paragraph">
    <w:name w:val="toc 7"/>
    <w:next w:val="Style_7"/>
    <w:link w:val="Style_1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7_ch" w:type="character">
    <w:name w:val="toc 7"/>
    <w:link w:val="Style_17"/>
    <w:rPr>
      <w:rFonts w:ascii="XO Thames" w:hAnsi="XO Thames"/>
      <w:sz w:val="28"/>
    </w:rPr>
  </w:style>
  <w:style w:styleId="Style_18" w:type="paragraph">
    <w:name w:val="Subtle Reference"/>
    <w:basedOn w:val="Style_10"/>
    <w:link w:val="Style_18_ch"/>
    <w:rPr>
      <w:smallCaps w:val="1"/>
      <w:color w:themeColor="accent2" w:val="C0504D"/>
      <w:u w:val="single"/>
    </w:rPr>
  </w:style>
  <w:style w:styleId="Style_18_ch" w:type="character">
    <w:name w:val="Subtle Reference"/>
    <w:basedOn w:val="Style_10_ch"/>
    <w:link w:val="Style_18"/>
    <w:rPr>
      <w:smallCaps w:val="1"/>
      <w:color w:themeColor="accent2" w:val="C0504D"/>
      <w:u w:val="single"/>
    </w:rPr>
  </w:style>
  <w:style w:styleId="Style_19" w:type="paragraph">
    <w:name w:val="List Bullet 3"/>
    <w:basedOn w:val="Style_7"/>
    <w:link w:val="Style_19_ch"/>
    <w:pPr>
      <w:widowControl w:val="1"/>
      <w:numPr>
        <w:numId w:val="1"/>
      </w:numPr>
      <w:ind/>
      <w:contextualSpacing w:val="1"/>
    </w:pPr>
  </w:style>
  <w:style w:styleId="Style_19_ch" w:type="character">
    <w:name w:val="List Bullet 3"/>
    <w:basedOn w:val="Style_7_ch"/>
    <w:link w:val="Style_19"/>
  </w:style>
  <w:style w:styleId="Style_20" w:type="paragraph">
    <w:name w:val="Body Text 3"/>
    <w:basedOn w:val="Style_7"/>
    <w:link w:val="Style_20_ch"/>
    <w:pPr>
      <w:widowControl w:val="1"/>
      <w:spacing w:after="120"/>
      <w:ind/>
    </w:pPr>
    <w:rPr>
      <w:sz w:val="16"/>
    </w:rPr>
  </w:style>
  <w:style w:styleId="Style_20_ch" w:type="character">
    <w:name w:val="Body Text 3"/>
    <w:basedOn w:val="Style_7_ch"/>
    <w:link w:val="Style_20"/>
    <w:rPr>
      <w:sz w:val="16"/>
    </w:rPr>
  </w:style>
  <w:style w:styleId="Style_21" w:type="paragraph">
    <w:name w:val="List 2"/>
    <w:basedOn w:val="Style_7"/>
    <w:link w:val="Style_21_ch"/>
    <w:pPr>
      <w:widowControl w:val="1"/>
      <w:ind w:hanging="360" w:left="720"/>
      <w:contextualSpacing w:val="1"/>
    </w:pPr>
  </w:style>
  <w:style w:styleId="Style_21_ch" w:type="character">
    <w:name w:val="List 2"/>
    <w:basedOn w:val="Style_7_ch"/>
    <w:link w:val="Style_21"/>
  </w:style>
  <w:style w:styleId="Style_22" w:type="paragraph">
    <w:name w:val="Endnote"/>
    <w:link w:val="Style_22_ch"/>
    <w:pPr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Endnote"/>
    <w:link w:val="Style_22"/>
    <w:rPr>
      <w:rFonts w:ascii="XO Thames" w:hAnsi="XO Thames"/>
      <w:sz w:val="22"/>
    </w:rPr>
  </w:style>
  <w:style w:styleId="Style_23" w:type="paragraph">
    <w:name w:val="heading 3"/>
    <w:basedOn w:val="Style_7"/>
    <w:next w:val="Style_7"/>
    <w:link w:val="Style_23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23_ch" w:type="character">
    <w:name w:val="heading 3"/>
    <w:basedOn w:val="Style_7_ch"/>
    <w:link w:val="Style_23"/>
    <w:rPr>
      <w:rFonts w:asciiTheme="majorAscii" w:hAnsiTheme="majorHAnsi"/>
      <w:b w:val="1"/>
      <w:color w:themeColor="accent1" w:val="4F81BD"/>
    </w:rPr>
  </w:style>
  <w:style w:styleId="Style_24" w:type="paragraph">
    <w:name w:val="Emphasis"/>
    <w:basedOn w:val="Style_10"/>
    <w:link w:val="Style_24_ch"/>
    <w:rPr>
      <w:i w:val="1"/>
    </w:rPr>
  </w:style>
  <w:style w:styleId="Style_24_ch" w:type="character">
    <w:name w:val="Emphasis"/>
    <w:basedOn w:val="Style_10_ch"/>
    <w:link w:val="Style_24"/>
    <w:rPr>
      <w:i w:val="1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25" w:type="paragraph">
    <w:name w:val="heading 9"/>
    <w:basedOn w:val="Style_7"/>
    <w:next w:val="Style_7"/>
    <w:link w:val="Style_25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5_ch" w:type="character">
    <w:name w:val="heading 9"/>
    <w:basedOn w:val="Style_7_ch"/>
    <w:link w:val="Style_25"/>
    <w:rPr>
      <w:rFonts w:asciiTheme="majorAscii" w:hAnsiTheme="majorHAnsi"/>
      <w:i w:val="1"/>
      <w:color w:themeColor="text1" w:themeTint="BF" w:val="404040"/>
      <w:sz w:val="20"/>
    </w:rPr>
  </w:style>
  <w:style w:styleId="Style_1" w:type="paragraph">
    <w:name w:val="footer"/>
    <w:basedOn w:val="Style_7"/>
    <w:link w:val="Style_1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1_ch" w:type="character">
    <w:name w:val="footer"/>
    <w:basedOn w:val="Style_7_ch"/>
    <w:link w:val="Style_1"/>
  </w:style>
  <w:style w:styleId="Style_26" w:type="paragraph">
    <w:name w:val="List Number 2"/>
    <w:basedOn w:val="Style_7"/>
    <w:link w:val="Style_26_ch"/>
    <w:pPr>
      <w:widowControl w:val="1"/>
      <w:numPr>
        <w:numId w:val="2"/>
      </w:numPr>
      <w:ind/>
      <w:contextualSpacing w:val="1"/>
    </w:pPr>
  </w:style>
  <w:style w:styleId="Style_26_ch" w:type="character">
    <w:name w:val="List Number 2"/>
    <w:basedOn w:val="Style_7_ch"/>
    <w:link w:val="Style_26"/>
  </w:style>
  <w:style w:styleId="Style_27" w:type="paragraph">
    <w:name w:val="List Continue"/>
    <w:basedOn w:val="Style_7"/>
    <w:link w:val="Style_27_ch"/>
    <w:pPr>
      <w:widowControl w:val="1"/>
      <w:spacing w:after="120"/>
      <w:ind w:left="360"/>
      <w:contextualSpacing w:val="1"/>
    </w:pPr>
  </w:style>
  <w:style w:styleId="Style_27_ch" w:type="character">
    <w:name w:val="List Continue"/>
    <w:basedOn w:val="Style_7_ch"/>
    <w:link w:val="Style_27"/>
  </w:style>
  <w:style w:styleId="Style_28" w:type="paragraph">
    <w:name w:val="toc 3"/>
    <w:next w:val="Style_7"/>
    <w:link w:val="Style_2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8_ch" w:type="character">
    <w:name w:val="toc 3"/>
    <w:link w:val="Style_28"/>
    <w:rPr>
      <w:rFonts w:ascii="XO Thames" w:hAnsi="XO Thames"/>
      <w:sz w:val="28"/>
    </w:rPr>
  </w:style>
  <w:style w:styleId="Style_29" w:type="paragraph">
    <w:name w:val="List Continue 2"/>
    <w:basedOn w:val="Style_7"/>
    <w:link w:val="Style_29_ch"/>
    <w:pPr>
      <w:widowControl w:val="1"/>
      <w:spacing w:after="120"/>
      <w:ind w:left="720"/>
      <w:contextualSpacing w:val="1"/>
    </w:pPr>
  </w:style>
  <w:style w:styleId="Style_29_ch" w:type="character">
    <w:name w:val="List Continue 2"/>
    <w:basedOn w:val="Style_7_ch"/>
    <w:link w:val="Style_29"/>
  </w:style>
  <w:style w:styleId="Style_30" w:type="paragraph">
    <w:name w:val="List Continue 3"/>
    <w:basedOn w:val="Style_7"/>
    <w:link w:val="Style_30_ch"/>
    <w:pPr>
      <w:widowControl w:val="1"/>
      <w:spacing w:after="120"/>
      <w:ind w:left="1080"/>
      <w:contextualSpacing w:val="1"/>
    </w:pPr>
  </w:style>
  <w:style w:styleId="Style_30_ch" w:type="character">
    <w:name w:val="List Continue 3"/>
    <w:basedOn w:val="Style_7_ch"/>
    <w:link w:val="Style_30"/>
  </w:style>
  <w:style w:styleId="Style_31" w:type="paragraph">
    <w:name w:val="heading 5"/>
    <w:basedOn w:val="Style_7"/>
    <w:next w:val="Style_7"/>
    <w:link w:val="Style_31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1_ch" w:type="character">
    <w:name w:val="heading 5"/>
    <w:basedOn w:val="Style_7_ch"/>
    <w:link w:val="Style_31"/>
    <w:rPr>
      <w:rFonts w:asciiTheme="majorAscii" w:hAnsiTheme="majorHAnsi"/>
      <w:color w:themeColor="accent1" w:themeShade="7F" w:val="244061"/>
    </w:rPr>
  </w:style>
  <w:style w:styleId="Style_32" w:type="paragraph">
    <w:name w:val="No Spacing"/>
    <w:link w:val="Style_32_ch"/>
    <w:pPr>
      <w:widowControl w:val="1"/>
      <w:spacing w:after="0" w:line="240" w:lineRule="auto"/>
      <w:ind/>
    </w:pPr>
  </w:style>
  <w:style w:styleId="Style_32_ch" w:type="character">
    <w:name w:val="No Spacing"/>
    <w:link w:val="Style_32"/>
  </w:style>
  <w:style w:styleId="Style_4" w:type="paragraph">
    <w:name w:val="heading 1"/>
    <w:basedOn w:val="Style_7"/>
    <w:next w:val="Style_7"/>
    <w:link w:val="Style_4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val="173853"/>
      <w:sz w:val="30"/>
    </w:rPr>
  </w:style>
  <w:style w:styleId="Style_4_ch" w:type="character">
    <w:name w:val="heading 1"/>
    <w:basedOn w:val="Style_7_ch"/>
    <w:link w:val="Style_4"/>
    <w:rPr>
      <w:rFonts w:asciiTheme="majorAscii" w:hAnsiTheme="majorHAnsi"/>
      <w:b w:val="1"/>
      <w:color w:val="173853"/>
      <w:sz w:val="30"/>
    </w:rPr>
  </w:style>
  <w:style w:styleId="Style_33" w:type="paragraph">
    <w:name w:val="List Bullet"/>
    <w:basedOn w:val="Style_7"/>
    <w:link w:val="Style_33_ch"/>
    <w:pPr>
      <w:widowControl w:val="1"/>
      <w:numPr>
        <w:numId w:val="3"/>
      </w:numPr>
      <w:ind/>
      <w:contextualSpacing w:val="1"/>
    </w:pPr>
  </w:style>
  <w:style w:styleId="Style_33_ch" w:type="character">
    <w:name w:val="List Bullet"/>
    <w:basedOn w:val="Style_7_ch"/>
    <w:link w:val="Style_33"/>
  </w:style>
  <w:style w:styleId="Style_34" w:type="paragraph">
    <w:name w:val="Hyperlink"/>
    <w:link w:val="Style_34_ch"/>
    <w:rPr>
      <w:color w:val="0000FF"/>
      <w:u w:val="single"/>
    </w:rPr>
  </w:style>
  <w:style w:styleId="Style_34_ch" w:type="character">
    <w:name w:val="Hyperlink"/>
    <w:link w:val="Style_34"/>
    <w:rPr>
      <w:color w:val="0000FF"/>
      <w:u w:val="single"/>
    </w:rPr>
  </w:style>
  <w:style w:styleId="Style_35" w:type="paragraph">
    <w:name w:val="Footnote"/>
    <w:link w:val="Style_35_ch"/>
    <w:pPr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heading 8"/>
    <w:basedOn w:val="Style_7"/>
    <w:next w:val="Style_7"/>
    <w:link w:val="Style_36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6_ch" w:type="character">
    <w:name w:val="heading 8"/>
    <w:basedOn w:val="Style_7_ch"/>
    <w:link w:val="Style_36"/>
    <w:rPr>
      <w:rFonts w:asciiTheme="majorAscii" w:hAnsiTheme="majorHAnsi"/>
      <w:color w:themeColor="accent1" w:val="4F81BD"/>
      <w:sz w:val="20"/>
    </w:rPr>
  </w:style>
  <w:style w:styleId="Style_37" w:type="paragraph">
    <w:name w:val="Quote"/>
    <w:basedOn w:val="Style_7"/>
    <w:next w:val="Style_7"/>
    <w:link w:val="Style_37_ch"/>
    <w:rPr>
      <w:i w:val="1"/>
      <w:color w:themeColor="text1" w:val="000000"/>
    </w:rPr>
  </w:style>
  <w:style w:styleId="Style_37_ch" w:type="character">
    <w:name w:val="Quote"/>
    <w:basedOn w:val="Style_7_ch"/>
    <w:link w:val="Style_37"/>
    <w:rPr>
      <w:i w:val="1"/>
      <w:color w:themeColor="text1" w:val="000000"/>
    </w:rPr>
  </w:style>
  <w:style w:styleId="Style_38" w:type="paragraph">
    <w:name w:val="toc 1"/>
    <w:next w:val="Style_7"/>
    <w:link w:val="Style_3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8_ch" w:type="character">
    <w:name w:val="toc 1"/>
    <w:link w:val="Style_38"/>
    <w:rPr>
      <w:rFonts w:ascii="XO Thames" w:hAnsi="XO Thames"/>
      <w:b w:val="1"/>
      <w:sz w:val="28"/>
    </w:rPr>
  </w:style>
  <w:style w:styleId="Style_39" w:type="paragraph">
    <w:name w:val="Header and Footer"/>
    <w:link w:val="Style_39_ch"/>
    <w:pPr>
      <w:spacing w:line="240" w:lineRule="auto"/>
      <w:ind/>
      <w:jc w:val="both"/>
    </w:pPr>
    <w:rPr>
      <w:rFonts w:ascii="XO Thames" w:hAnsi="XO Thames"/>
      <w:sz w:val="28"/>
    </w:rPr>
  </w:style>
  <w:style w:styleId="Style_39_ch" w:type="character">
    <w:name w:val="Header and Footer"/>
    <w:link w:val="Style_39"/>
    <w:rPr>
      <w:rFonts w:ascii="XO Thames" w:hAnsi="XO Thames"/>
      <w:sz w:val="28"/>
    </w:rPr>
  </w:style>
  <w:style w:styleId="Style_40" w:type="paragraph">
    <w:name w:val="header"/>
    <w:basedOn w:val="Style_7"/>
    <w:link w:val="Style_40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0_ch" w:type="character">
    <w:name w:val="header"/>
    <w:basedOn w:val="Style_7_ch"/>
    <w:link w:val="Style_40"/>
  </w:style>
  <w:style w:styleId="Style_41" w:type="paragraph">
    <w:name w:val="toc 9"/>
    <w:next w:val="Style_7"/>
    <w:link w:val="Style_4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1_ch" w:type="character">
    <w:name w:val="toc 9"/>
    <w:link w:val="Style_41"/>
    <w:rPr>
      <w:rFonts w:ascii="XO Thames" w:hAnsi="XO Thames"/>
      <w:sz w:val="28"/>
    </w:rPr>
  </w:style>
  <w:style w:styleId="Style_42" w:type="paragraph">
    <w:name w:val="caption"/>
    <w:basedOn w:val="Style_7"/>
    <w:next w:val="Style_7"/>
    <w:link w:val="Style_42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42_ch" w:type="character">
    <w:name w:val="caption"/>
    <w:basedOn w:val="Style_7_ch"/>
    <w:link w:val="Style_42"/>
    <w:rPr>
      <w:b w:val="1"/>
      <w:color w:themeColor="accent1" w:val="4F81BD"/>
      <w:sz w:val="18"/>
    </w:rPr>
  </w:style>
  <w:style w:styleId="Style_43" w:type="paragraph">
    <w:name w:val="macro"/>
    <w:link w:val="Style_43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43_ch" w:type="character">
    <w:name w:val="macro"/>
    <w:link w:val="Style_43"/>
    <w:rPr>
      <w:rFonts w:ascii="Courier" w:hAnsi="Courier"/>
      <w:sz w:val="20"/>
    </w:rPr>
  </w:style>
  <w:style w:styleId="Style_44" w:type="paragraph">
    <w:name w:val="toc 8"/>
    <w:next w:val="Style_7"/>
    <w:link w:val="Style_4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4_ch" w:type="character">
    <w:name w:val="toc 8"/>
    <w:link w:val="Style_44"/>
    <w:rPr>
      <w:rFonts w:ascii="XO Thames" w:hAnsi="XO Thames"/>
      <w:sz w:val="28"/>
    </w:rPr>
  </w:style>
  <w:style w:styleId="Style_45" w:type="paragraph">
    <w:name w:val="TOC Heading"/>
    <w:basedOn w:val="Style_4"/>
    <w:next w:val="Style_7"/>
    <w:link w:val="Style_45_ch"/>
    <w:pPr>
      <w:widowControl w:val="1"/>
      <w:ind/>
      <w:outlineLvl w:val="8"/>
    </w:pPr>
  </w:style>
  <w:style w:styleId="Style_45_ch" w:type="character">
    <w:name w:val="TOC Heading"/>
    <w:basedOn w:val="Style_4_ch"/>
    <w:link w:val="Style_45"/>
  </w:style>
  <w:style w:styleId="Style_46" w:type="paragraph">
    <w:name w:val="toc 5"/>
    <w:next w:val="Style_7"/>
    <w:link w:val="Style_4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6_ch" w:type="character">
    <w:name w:val="toc 5"/>
    <w:link w:val="Style_46"/>
    <w:rPr>
      <w:rFonts w:ascii="XO Thames" w:hAnsi="XO Thames"/>
      <w:sz w:val="28"/>
    </w:rPr>
  </w:style>
  <w:style w:styleId="Style_47" w:type="paragraph">
    <w:name w:val="List Number"/>
    <w:basedOn w:val="Style_7"/>
    <w:link w:val="Style_47_ch"/>
    <w:pPr>
      <w:widowControl w:val="1"/>
      <w:numPr>
        <w:numId w:val="4"/>
      </w:numPr>
      <w:ind/>
      <w:contextualSpacing w:val="1"/>
    </w:pPr>
  </w:style>
  <w:style w:styleId="Style_47_ch" w:type="character">
    <w:name w:val="List Number"/>
    <w:basedOn w:val="Style_7_ch"/>
    <w:link w:val="Style_47"/>
  </w:style>
  <w:style w:styleId="Style_48" w:type="paragraph">
    <w:name w:val="List Paragraph"/>
    <w:basedOn w:val="Style_7"/>
    <w:link w:val="Style_48_ch"/>
    <w:pPr>
      <w:widowControl w:val="1"/>
      <w:ind w:left="720"/>
      <w:contextualSpacing w:val="1"/>
    </w:pPr>
  </w:style>
  <w:style w:styleId="Style_48_ch" w:type="character">
    <w:name w:val="List Paragraph"/>
    <w:basedOn w:val="Style_7_ch"/>
    <w:link w:val="Style_48"/>
  </w:style>
  <w:style w:styleId="Style_49" w:type="paragraph">
    <w:name w:val="Subtle Emphasis"/>
    <w:basedOn w:val="Style_10"/>
    <w:link w:val="Style_49_ch"/>
    <w:rPr>
      <w:i w:val="1"/>
      <w:color w:themeColor="text1" w:themeTint="7F" w:val="808080"/>
    </w:rPr>
  </w:style>
  <w:style w:styleId="Style_49_ch" w:type="character">
    <w:name w:val="Subtle Emphasis"/>
    <w:basedOn w:val="Style_10_ch"/>
    <w:link w:val="Style_49"/>
    <w:rPr>
      <w:i w:val="1"/>
      <w:color w:themeColor="text1" w:themeTint="7F" w:val="808080"/>
    </w:rPr>
  </w:style>
  <w:style w:styleId="Style_3" w:type="paragraph">
    <w:name w:val="Subtitle"/>
    <w:basedOn w:val="Style_7"/>
    <w:next w:val="Style_7"/>
    <w:link w:val="Style_3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3_ch" w:type="character">
    <w:name w:val="Subtitle"/>
    <w:basedOn w:val="Style_7_ch"/>
    <w:link w:val="Style_3"/>
    <w:rPr>
      <w:rFonts w:asciiTheme="majorAscii" w:hAnsiTheme="majorHAnsi"/>
      <w:i w:val="1"/>
      <w:color w:themeColor="accent1" w:val="4F81BD"/>
      <w:spacing w:val="15"/>
      <w:sz w:val="24"/>
    </w:rPr>
  </w:style>
  <w:style w:styleId="Style_50" w:type="paragraph">
    <w:name w:val="List Bullet 2"/>
    <w:basedOn w:val="Style_7"/>
    <w:link w:val="Style_50_ch"/>
    <w:pPr>
      <w:widowControl w:val="1"/>
      <w:numPr>
        <w:numId w:val="5"/>
      </w:numPr>
      <w:ind/>
      <w:contextualSpacing w:val="1"/>
    </w:pPr>
  </w:style>
  <w:style w:styleId="Style_50_ch" w:type="character">
    <w:name w:val="List Bullet 2"/>
    <w:basedOn w:val="Style_7_ch"/>
    <w:link w:val="Style_50"/>
  </w:style>
  <w:style w:styleId="Style_51" w:type="paragraph">
    <w:name w:val="Strong"/>
    <w:basedOn w:val="Style_10"/>
    <w:link w:val="Style_51_ch"/>
    <w:rPr>
      <w:b w:val="1"/>
    </w:rPr>
  </w:style>
  <w:style w:styleId="Style_51_ch" w:type="character">
    <w:name w:val="Strong"/>
    <w:basedOn w:val="Style_10_ch"/>
    <w:link w:val="Style_51"/>
    <w:rPr>
      <w:b w:val="1"/>
    </w:rPr>
  </w:style>
  <w:style w:styleId="Style_52" w:type="paragraph">
    <w:name w:val="Body Text"/>
    <w:basedOn w:val="Style_7"/>
    <w:link w:val="Style_52_ch"/>
    <w:pPr>
      <w:widowControl w:val="1"/>
      <w:spacing w:after="120"/>
      <w:ind/>
    </w:pPr>
  </w:style>
  <w:style w:styleId="Style_52_ch" w:type="character">
    <w:name w:val="Body Text"/>
    <w:basedOn w:val="Style_7_ch"/>
    <w:link w:val="Style_52"/>
  </w:style>
  <w:style w:styleId="Style_2" w:type="paragraph">
    <w:name w:val="Title"/>
    <w:basedOn w:val="Style_7"/>
    <w:next w:val="Style_7"/>
    <w:link w:val="Style_2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b w:val="1"/>
      <w:color w:val="173853"/>
      <w:spacing w:val="5"/>
      <w:sz w:val="44"/>
    </w:rPr>
  </w:style>
  <w:style w:styleId="Style_2_ch" w:type="character">
    <w:name w:val="Title"/>
    <w:basedOn w:val="Style_7_ch"/>
    <w:link w:val="Style_2"/>
    <w:rPr>
      <w:rFonts w:asciiTheme="majorAscii" w:hAnsiTheme="majorHAnsi"/>
      <w:b w:val="1"/>
      <w:color w:val="173853"/>
      <w:spacing w:val="5"/>
      <w:sz w:val="44"/>
    </w:rPr>
  </w:style>
  <w:style w:styleId="Style_53" w:type="paragraph">
    <w:name w:val="List 3"/>
    <w:basedOn w:val="Style_7"/>
    <w:link w:val="Style_53_ch"/>
    <w:pPr>
      <w:widowControl w:val="1"/>
      <w:ind w:hanging="360" w:left="1080"/>
      <w:contextualSpacing w:val="1"/>
    </w:pPr>
  </w:style>
  <w:style w:styleId="Style_53_ch" w:type="character">
    <w:name w:val="List 3"/>
    <w:basedOn w:val="Style_7_ch"/>
    <w:link w:val="Style_53"/>
  </w:style>
  <w:style w:styleId="Style_54" w:type="paragraph">
    <w:name w:val="heading 4"/>
    <w:basedOn w:val="Style_7"/>
    <w:next w:val="Style_7"/>
    <w:link w:val="Style_54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4_ch" w:type="character">
    <w:name w:val="heading 4"/>
    <w:basedOn w:val="Style_7_ch"/>
    <w:link w:val="Style_54"/>
    <w:rPr>
      <w:rFonts w:asciiTheme="majorAscii" w:hAnsiTheme="majorHAnsi"/>
      <w:b w:val="1"/>
      <w:i w:val="1"/>
      <w:color w:themeColor="accent1" w:val="4F81BD"/>
    </w:rPr>
  </w:style>
  <w:style w:styleId="Style_5" w:type="paragraph">
    <w:name w:val="heading 2"/>
    <w:basedOn w:val="Style_7"/>
    <w:next w:val="Style_7"/>
    <w:link w:val="Style_5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val="173853"/>
      <w:sz w:val="24"/>
    </w:rPr>
  </w:style>
  <w:style w:styleId="Style_5_ch" w:type="character">
    <w:name w:val="heading 2"/>
    <w:basedOn w:val="Style_7_ch"/>
    <w:link w:val="Style_5"/>
    <w:rPr>
      <w:rFonts w:asciiTheme="majorAscii" w:hAnsiTheme="majorHAnsi"/>
      <w:b w:val="1"/>
      <w:color w:val="173853"/>
      <w:sz w:val="24"/>
    </w:rPr>
  </w:style>
  <w:style w:styleId="Style_55" w:type="paragraph">
    <w:name w:val="List Number 3"/>
    <w:basedOn w:val="Style_7"/>
    <w:link w:val="Style_55_ch"/>
    <w:pPr>
      <w:widowControl w:val="1"/>
      <w:numPr>
        <w:numId w:val="6"/>
      </w:numPr>
      <w:ind/>
      <w:contextualSpacing w:val="1"/>
    </w:pPr>
  </w:style>
  <w:style w:styleId="Style_55_ch" w:type="character">
    <w:name w:val="List Number 3"/>
    <w:basedOn w:val="Style_7_ch"/>
    <w:link w:val="Style_55"/>
  </w:style>
  <w:style w:styleId="Style_56" w:type="paragraph">
    <w:name w:val="List"/>
    <w:basedOn w:val="Style_7"/>
    <w:link w:val="Style_56_ch"/>
    <w:pPr>
      <w:widowControl w:val="1"/>
      <w:ind w:hanging="360" w:left="360"/>
      <w:contextualSpacing w:val="1"/>
    </w:pPr>
  </w:style>
  <w:style w:styleId="Style_56_ch" w:type="character">
    <w:name w:val="List"/>
    <w:basedOn w:val="Style_7_ch"/>
    <w:link w:val="Style_56"/>
  </w:style>
  <w:style w:styleId="Style_57" w:type="paragraph">
    <w:name w:val="heading 6"/>
    <w:basedOn w:val="Style_7"/>
    <w:next w:val="Style_7"/>
    <w:link w:val="Style_57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7_ch" w:type="character">
    <w:name w:val="heading 6"/>
    <w:basedOn w:val="Style_7_ch"/>
    <w:link w:val="Style_57"/>
    <w:rPr>
      <w:rFonts w:asciiTheme="majorAscii" w:hAnsiTheme="majorHAnsi"/>
      <w:i w:val="1"/>
      <w:color w:themeColor="accent1" w:themeShade="7F" w:val="244061"/>
    </w:rPr>
  </w:style>
  <w:style w:styleId="Style_58" w:type="paragraph">
    <w:name w:val="Intense Reference"/>
    <w:basedOn w:val="Style_10"/>
    <w:link w:val="Style_58_ch"/>
    <w:rPr>
      <w:b w:val="1"/>
      <w:smallCaps w:val="1"/>
      <w:color w:themeColor="accent2" w:val="C0504D"/>
      <w:spacing w:val="5"/>
      <w:u w:val="single"/>
    </w:rPr>
  </w:style>
  <w:style w:styleId="Style_58_ch" w:type="character">
    <w:name w:val="Intense Reference"/>
    <w:basedOn w:val="Style_10_ch"/>
    <w:link w:val="Style_58"/>
    <w:rPr>
      <w:b w:val="1"/>
      <w:smallCaps w:val="1"/>
      <w:color w:themeColor="accent2" w:val="C0504D"/>
      <w:spacing w:val="5"/>
      <w:u w:val="single"/>
    </w:rPr>
  </w:style>
  <w:style w:styleId="Style_59" w:type="table">
    <w:name w:val="Light Grid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Table Grid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Shading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Medium Grid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List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Colorful Grid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Colorful Grid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Colorful List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Grid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Light Shading Accent 2"/>
    <w:basedOn w:val="Style_60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Dark List Accent 1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List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Grid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Dark List Accent 2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List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Shading Accent 6"/>
    <w:basedOn w:val="Style_60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Light Grid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Shading 2 Accent 1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List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Grid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Grid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Light Shading Accent 4"/>
    <w:basedOn w:val="Style_60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List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Light Grid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Grid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Light Shading Accent 5"/>
    <w:basedOn w:val="Style_60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Colorful List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Colorful Shading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Shading 2 Accent 3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Colorful Shading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Shading 2 Accent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Colorful Shading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List 1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Shading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2 Accent 6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3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Lis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Grid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Colorful Grid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Light Shading Accent 3"/>
    <w:basedOn w:val="Style_60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List 1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Colorful Shading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Colorful List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Light List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List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List 1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Shading 2 Accent 5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Light List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Shading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Shading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Dark List Accent 6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Colorful Shading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Grid 3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Shading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Grid 3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Grid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3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Colorful Shading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Grid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List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Grid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Light List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6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Lis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Grid 3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Grid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Light Shading"/>
    <w:basedOn w:val="Style_60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Grid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List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Grid 3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Grid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Dark List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" w:type="table">
    <w:name w:val="Light Shading Accent 1"/>
    <w:basedOn w:val="Style_60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Dark List Accent 5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Grid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2 Accent 4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List 1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List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List 1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ght List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Grid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Grid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List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List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Dark List Accent 4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Shading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Dark List Accent 3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Grid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Colorful Grid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Grid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Shading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Colorful Grid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styles" Target="styles.xml"/><Relationship Id="rId1" Type="http://schemas.openxmlformats.org/officeDocument/2006/relationships/footer" Target="footer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5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fontTable" Target="fontTable.xml"/><Relationship Id="rId6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2026-10-19T07:44:12Z</dcterms:created>
  <dcterms:modified xsi:type="dcterms:W3CDTF">2026-10-19T08:15:18Z</dcterms:modified>
</cp:coreProperties>
</file>