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DOI:</w:t>
      </w:r>
      <w:r>
        <w:t xml:space="preserve"> </w:t>
      </w:r>
      <w:r>
        <w:rPr>
          <w:i/>
          <w:iCs/>
        </w:rPr>
        <w:t xml:space="preserve">(assigned by editor)</w:t>
      </w:r>
      <w:r>
        <w:br/>
      </w:r>
      <w:r>
        <w:rPr>
          <w:b/>
          <w:bCs/>
        </w:rPr>
        <w:t xml:space="preserve">УДК</w:t>
      </w:r>
      <w:r>
        <w:t xml:space="preserve"> </w:t>
      </w:r>
      <m:oMath>
        <m:r>
          <m:rPr>
            <m:sty m:val="p"/>
          </m:rPr>
          <m:t>⟨</m:t>
        </m:r>
      </m:oMath>
      <w:r>
        <w:rPr>
          <w:i/>
          <w:iCs/>
        </w:rPr>
        <w:t xml:space="preserve">placeholder — to confirm</w:t>
      </w:r>
      <m:oMath>
        <m:r>
          <m:rPr>
            <m:sty m:val="p"/>
          </m:rPr>
          <m:t>⟩</m:t>
        </m:r>
      </m:oMath>
      <w:r>
        <w:br/>
      </w:r>
      <w:r>
        <w:rPr>
          <w:b/>
          <w:bCs/>
        </w:rPr>
        <w:t xml:space="preserve">Богусевич Олексій Олександрович</w:t>
      </w:r>
      <w:r>
        <w:rPr>
          <w:vertAlign w:val="superscript"/>
        </w:rPr>
        <w:t xml:space="preserve">1</w:t>
      </w:r>
      <w:r>
        <w:t xml:space="preserve">,</w:t>
      </w:r>
      <w:r>
        <w:t xml:space="preserve"> </w:t>
      </w:r>
      <m:oMath>
        <m:r>
          <m:rPr>
            <m:sty m:val="p"/>
          </m:rPr>
          <m:t>⟨</m:t>
        </m:r>
      </m:oMath>
      <w:r>
        <w:rPr>
          <w:i/>
          <w:iCs/>
        </w:rPr>
        <w:t xml:space="preserve">degree/title</w:t>
      </w:r>
      <m:oMath>
        <m:r>
          <m:rPr>
            <m:sty m:val="p"/>
          </m:rPr>
          <m:t>⟩</m:t>
        </m:r>
      </m:oMath>
      <w:r>
        <w:br/>
      </w:r>
      <w:hyperlink r:id="rId9">
        <w:r>
          <w:rPr>
            <w:rStyle w:val="Hyperlink"/>
          </w:rPr>
          <w:t xml:space="preserve">https://orcid.org/0000-0000-0000-0000</w:t>
        </w:r>
      </w:hyperlink>
      <w:r>
        <w:br/>
      </w:r>
      <w:r>
        <w:rPr>
          <w:b/>
          <w:bCs/>
        </w:rPr>
        <w:t xml:space="preserve">Свистунов Антон Олександрович</w:t>
      </w:r>
      <w:r>
        <w:rPr>
          <w:vertAlign w:val="superscript"/>
        </w:rPr>
        <w:t xml:space="preserve">1</w:t>
      </w:r>
      <w:r>
        <w:t xml:space="preserve">,</w:t>
      </w:r>
      <w:r>
        <w:t xml:space="preserve"> </w:t>
      </w:r>
      <m:oMath>
        <m:r>
          <m:rPr>
            <m:sty m:val="p"/>
          </m:rPr>
          <m:t>⟨</m:t>
        </m:r>
      </m:oMath>
      <w:r>
        <w:rPr>
          <w:i/>
          <w:iCs/>
        </w:rPr>
        <w:t xml:space="preserve">degree/title</w:t>
      </w:r>
      <m:oMath>
        <m:r>
          <m:rPr>
            <m:sty m:val="p"/>
          </m:rPr>
          <m:t>⟩</m:t>
        </m:r>
      </m:oMath>
      <w:r>
        <w:br/>
      </w:r>
      <w:hyperlink r:id="rId9">
        <w:r>
          <w:rPr>
            <w:rStyle w:val="Hyperlink"/>
          </w:rPr>
          <w:t xml:space="preserve">https://orcid.org/0000-0000-0000-0000</w:t>
        </w:r>
      </w:hyperlink>
      <w:r>
        <w:br/>
      </w:r>
      <w:r>
        <w:rPr>
          <w:vertAlign w:val="superscript"/>
        </w:rPr>
        <w:t xml:space="preserve">1</w:t>
      </w:r>
      <w:r>
        <w:rPr>
          <w:lang w:val="uk"/>
        </w:rPr>
        <w:t xml:space="preserve">Київський національний університет імені Тараса Шевченка, факультет комп’ютерних наук та кібернетики, м. Київ, Україна</w:t>
      </w:r>
      <w:r>
        <w:br/>
      </w:r>
    </w:p>
    <w:p>
      <w:pPr>
        <w:pStyle w:val="BodyText"/>
      </w:pPr>
      <w:r>
        <w:rPr>
          <w:b/>
          <w:bCs/>
        </w:rPr>
        <w:t xml:space="preserve">PARCS-Agent: An MCP-Mediated Bridge from LLM Agents to Distributed Compute Clusters</w:t>
      </w:r>
    </w:p>
    <w:p>
      <w:pPr>
        <w:pStyle w:val="BodyText"/>
      </w:pPr>
      <w:r>
        <w:rPr>
          <w:b/>
          <w:bCs/>
        </w:rPr>
        <w:t xml:space="preserve">Bohusevych O., Svystunov A. PARCS-Agent: An MCP-Mediated Bridge from LLM Agents to Distributed Compute Clusters.</w:t>
      </w:r>
      <w:r>
        <w:t xml:space="preserve"> </w:t>
      </w:r>
      <w:r>
        <w:t xml:space="preserve">Contemporary large language model (LLM) agents invoke external tools for information retrieval, code execution, and application-programming-interface access; each such invocation runs, however, as a local synchronous function inside a single process. Compute-bound subtasks (Monte Carlo simulation, hyperparameter exploration, combinatorial search) are therefore constrained to the agent’s single execution thread, and no standardised mechanism exists for an agent to acquire additional computational resources during task execution. This paper proposes PARCS-Agent, an architectural pattern in which a server implementing the Model Context Protocol (MCP) provides an interface to a Kubernetes-based PARCS distributed computing cluster and exposes a compact set of tools enabling the agent to submit arbitrary C# computation logic at runtime. The platform compiles the submitted source using Roslyn, distributes execution across daemon worker pods through Kubernetes Event-Driven Autoscaling (KEDA), and propagates intermediate results between successive parallel layers. The agent generates only per-worker logic in straight-line code, thereby circumventing the documented limitations of LLMs in producing correct MPI, OpenMP, and CUDA programs. Bulk input data is delivered through a content-addressed shared-storage side channel, decoupling dataset volume from protocol payload. The approach is illustrated by a Monte Carlo Value-at-Risk case study; quantitative evaluation is reserved for a subsequent publication.</w:t>
      </w:r>
    </w:p>
    <w:p>
      <w:pPr>
        <w:pStyle w:val="BodyText"/>
      </w:pPr>
      <w:r>
        <w:rPr>
          <w:b/>
          <w:bCs/>
        </w:rPr>
        <w:t xml:space="preserve">Keywords:</w:t>
      </w:r>
      <w:r>
        <w:t xml:space="preserve"> </w:t>
      </w:r>
      <w:r>
        <w:t xml:space="preserve">AI agents; large language models; Model Context Protocol;</w:t>
      </w:r>
      <w:r>
        <w:t xml:space="preserve"> </w:t>
      </w:r>
      <w:r>
        <w:t xml:space="preserve">distributed computing; parallel computation; LLM tool use; Kubernetes;</w:t>
      </w:r>
      <w:r>
        <w:t xml:space="preserve"> </w:t>
      </w:r>
      <w:r>
        <w:t xml:space="preserve">agent infrastructure.</w:t>
      </w:r>
    </w:p>
    <w:p>
      <w:pPr>
        <w:pStyle w:val="BodyText"/>
      </w:pPr>
      <w:r>
        <w:rPr>
          <w:b/>
          <w:bCs/>
          <w:lang w:val="uk"/>
        </w:rPr>
        <w:t xml:space="preserve">Богусевич О. О., Свистунов А. О. PARCS-Agent: міст від агентів великих мовних моделей до розподілених обчислювальних кластерів через протокол MCP.</w:t>
      </w:r>
      <w:r>
        <w:rPr>
          <w:lang w:val="uk"/>
        </w:rPr>
        <w:t xml:space="preserve"> </w:t>
      </w:r>
      <w:r>
        <w:rPr>
          <w:lang w:val="uk"/>
        </w:rPr>
        <w:t xml:space="preserve">Сучасні агенти на основі великих мовних моделей використовують зовнішні інструменти для пошуку інформації, виконання коду та звернень до API, проте кожний виклик інструмента залишається локальною синхронною функцією. Обчислювально-важкі підзадачі — методи Монте-Карло, перебір гіперпараметрів, комбінаторний пошук — змушені виконуватися в єдиному потоці агента, і не існує загальноприйнятого механізму отримання додаткових обчислювальних ресурсів під час виконання задачі. У роботі запропоновано архітектурний шаблон PARCS-Agent, у якому сервер протоколу контексту моделі (Model Context Protocol, MCP) надає інтерфейс до Kubernetes-кластера системи PARCS і експонує невеликий набір інструментів, що дозволяють агентові подавати довільну логіку обчислень мовою C# під час виконання. Платформа компілює подану реалізацію за допомогою Roslyn, розподіляє її між пулом робочих демонів засобами автомасштабування KEDA та передає JSON-результати між послідовними паралельними шарами. Агент не пише паралельного коду — лише логіку одного робітника, — що уникає відомих складнощів, які виникають у мовних моделей при роботі з MPI, OpenMP та CUDA. Передача великих вхідних даних здійснюється через сторонній канал спільного сховища з контентно-адресованим кешуванням. Підхід проілюстровано на прикладі обчислення Value-at-Risk методом Монте-Карло; кількісне оцінювання залишене для подальших публікацій.</w:t>
      </w:r>
    </w:p>
    <w:p>
      <w:pPr>
        <w:pStyle w:val="BodyText"/>
      </w:pPr>
      <w:r>
        <w:rPr>
          <w:b/>
          <w:bCs/>
          <w:lang w:val="uk"/>
        </w:rPr>
        <w:t xml:space="preserve">Ключові слова:</w:t>
      </w:r>
      <w:r>
        <w:rPr>
          <w:lang w:val="uk"/>
        </w:rPr>
        <w:t xml:space="preserve"> </w:t>
      </w:r>
      <w:r>
        <w:rPr>
          <w:lang w:val="uk"/>
        </w:rPr>
        <w:t xml:space="preserve">ШІ-агенти; великі мовні моделі; протокол контексту моделі;</w:t>
      </w:r>
      <w:r>
        <w:rPr>
          <w:lang w:val="uk"/>
        </w:rPr>
        <w:t xml:space="preserve"> </w:t>
      </w:r>
      <w:r>
        <w:rPr>
          <w:lang w:val="uk"/>
        </w:rPr>
        <w:t xml:space="preserve">розподілені обчислення; паралельні обчислення; використання інструментів великими мовними моделями;</w:t>
      </w:r>
      <w:r>
        <w:rPr>
          <w:lang w:val="uk"/>
        </w:rPr>
        <w:t xml:space="preserve"> </w:t>
      </w:r>
      <w:r>
        <w:rPr>
          <w:lang w:val="uk"/>
        </w:rPr>
        <w:t xml:space="preserve">Kubernetes; агентна інфраструктура.</w:t>
      </w:r>
    </w:p>
    <w:p>
      <w:pPr>
        <w:pStyle w:val="BodyText"/>
      </w:pPr>
      <w:r>
        <w:rPr>
          <w:b/>
          <w:bCs/>
        </w:rPr>
        <w:t xml:space="preserve">Problem statement.</w:t>
      </w:r>
    </w:p>
    <w:p>
      <w:pPr>
        <w:pStyle w:val="BodyText"/>
      </w:pPr>
      <w:r>
        <w:t xml:space="preserve">Recent years have witnessed substantial progress in the capabilities of language-model agents along several dimensions: multi-step reasoning, programmatic code generation, retrieval-grounded answering, and the orchestration of long sequences of external tool invocations. The computational substrate on which such agents execute their actions, however, has remained essentially unchanged. The dominant architectural pattern, established by Toolformer and ReAct and adopted by all major contemporary agent frameworks, executes agent-generated code within a single-threaded sandbox, typically a Python interpreter, a code-interpreter container, or an analogous single-process runtime. Within this paradigm the model produces straight-line code, a single process executes it, and the agent’s wall-clock latency coincides with the script’s serial execution time.</w:t>
      </w:r>
    </w:p>
    <w:p>
      <w:pPr>
        <w:pStyle w:val="BodyText"/>
      </w:pPr>
      <w:r>
        <w:t xml:space="preserve">The single-threaded execution model is adequate for agent behaviour built around retrieval, parsing, calculation, and lightweight scripting. It becomes inadequate, however, for an expanding class of practically relevant workloads whose total computational work scales with sample count or problem size. Representative examples include Monte Carlo estimation, hyperparameter exploration, combinatorial optimisation, large-scale simulation, and statistical bootstrap. When executed within a single process, such workloads either exceed the available time budget or are forced into severe undersampling that degrades the quality of the obtained results; in either case the reasoning capacity of the underlying model is constrained not by its inferential ability but by the available compute resources.</w:t>
      </w:r>
    </w:p>
    <w:p>
      <w:pPr>
        <w:pStyle w:val="BodyText"/>
      </w:pPr>
      <w:r>
        <w:t xml:space="preserve">A direct alternative is to provide the agent with access to a parallel runtime. This approach, however, encounters a documented difficulty: the generation of correct parallel code remains an unsolved subproblem for contemporary LLMs. Empirical assessments indicate considerable accuracy decline in MPI, OpenMP, and CUDA generation tasks relative to equivalent serial implementations, particularly for non-trivial memory-access patterns. Models capable of producing fluent serial implementations frequently fail to express the same algorithms when explicit synchronisation primitives are required.</w:t>
      </w:r>
    </w:p>
    <w:p>
      <w:pPr>
        <w:pStyle w:val="BodyText"/>
      </w:pPr>
      <w:r>
        <w:t xml:space="preserve">The two requirements – parallel execution and synchronous-style code generation – need not be mutually exclusive. A distributed runtime can absorb parallelism transparently, accepting per-worker logic written in straight-line code while assuming responsibility for fan-out, fan-in, and result aggregation. The PARCS framework constitutes such a runtime: a Kubernetes-based cluster of daemon workers that executes user-supplied modules at runtime. The remaining design problem is the agent-facing interface.</w:t>
      </w:r>
    </w:p>
    <w:p>
      <w:pPr>
        <w:pStyle w:val="BodyText"/>
      </w:pPr>
      <w:r>
        <w:t xml:space="preserve">The interface considered in the present work is the Model Context Protocol (MCP), a recently introduced standard for agent–tool interaction. Tools advertised through MCP are usable by any compliant agent without bespoke integration. Positioning a distributed-computing cluster behind MCP and exposing a compact set of tools aligned with the agent’s natural step-wise decomposition allows agent-generated C# code to retain a single-threaded coding paradigm as parallel execution is transparently delivered by the platform. The research issue addressed in this paper is therefore the design of an interface between a language-model agent and a distributed parallel computing cluster that preserves the synchronous coding paradigm at the agent’s surface while providing cluster-scale computational throughput beneath it.</w:t>
      </w:r>
    </w:p>
    <w:p>
      <w:pPr>
        <w:pStyle w:val="BodyText"/>
      </w:pPr>
      <w:r>
        <w:rPr>
          <w:b/>
          <w:bCs/>
        </w:rPr>
        <w:t xml:space="preserve">Analysis of related research.</w:t>
      </w:r>
    </w:p>
    <w:p>
      <w:pPr>
        <w:pStyle w:val="BodyText"/>
      </w:pPr>
      <w:r>
        <w:rPr>
          <w:i/>
          <w:iCs/>
        </w:rPr>
        <w:t xml:space="preserve">Tool-augmented language-model agents.</w:t>
      </w:r>
      <w:r>
        <w:t xml:space="preserve"> </w:t>
      </w:r>
      <w:r>
        <w:t xml:space="preserve">Toolformer </w:t>
      </w:r>
      <w:r>
        <w:t xml:space="preserve">(Schick et al. 2023)</w:t>
      </w:r>
      <w:r>
        <w:t xml:space="preserve"> </w:t>
      </w:r>
      <w:r>
        <w:t xml:space="preserve">trained a model to insert API calls into its own output without supervised labels; ReAct </w:t>
      </w:r>
      <w:r>
        <w:t xml:space="preserve">(Yao et al. 2023)</w:t>
      </w:r>
      <w:r>
        <w:t xml:space="preserve"> </w:t>
      </w:r>
      <w:r>
        <w:t xml:space="preserve">added explicit reasoning traces interleaved with observations from search and database tools. Later work extended both the scope and the toolset: ToolLLM </w:t>
      </w:r>
      <w:r>
        <w:t xml:space="preserve">(</w:t>
      </w:r>
      <w:r>
        <w:t xml:space="preserve">Qin et al.</w:t>
      </w:r>
      <w:r>
        <w:t xml:space="preserve"> </w:t>
      </w:r>
      <w:r>
        <w:t xml:space="preserve">2024)</w:t>
      </w:r>
      <w:r>
        <w:t xml:space="preserve"> </w:t>
      </w:r>
      <w:r>
        <w:t xml:space="preserve">covered 16 000 REST endpoints, Gorilla </w:t>
      </w:r>
      <w:r>
        <w:t xml:space="preserve">(Patil et al. 2023)</w:t>
      </w:r>
      <w:r>
        <w:t xml:space="preserve"> </w:t>
      </w:r>
      <w:r>
        <w:t xml:space="preserve">targeted hallucinated API signatures in machine-learning framework calls, and SciAgent </w:t>
      </w:r>
      <w:r>
        <w:t xml:space="preserve">(Ma et al. 2024)</w:t>
      </w:r>
      <w:r>
        <w:t xml:space="preserve"> </w:t>
      </w:r>
      <w:r>
        <w:t xml:space="preserve">brought the same approach to scientific domains spanning mathematics, physics, and finance. Mialon et al. </w:t>
      </w:r>
      <w:r>
        <w:t xml:space="preserve">(</w:t>
      </w:r>
      <w:r>
        <w:t xml:space="preserve">Mialon et al.</w:t>
      </w:r>
      <w:r>
        <w:t xml:space="preserve"> </w:t>
      </w:r>
      <w:r>
        <w:t xml:space="preserve">2023)</w:t>
      </w:r>
      <w:r>
        <w:t xml:space="preserve"> </w:t>
      </w:r>
      <w:r>
        <w:t xml:space="preserve">survey this family under the label of augmented language models. All of these systems share one structural constraint: every tool invocation is a local synchronous function call in which the server receives arguments, returns a result, and terminates, while the agent’s host process remains the only site of computation.</w:t>
      </w:r>
    </w:p>
    <w:p>
      <w:pPr>
        <w:pStyle w:val="BodyText"/>
      </w:pPr>
      <w:r>
        <w:t xml:space="preserve">CodeAct </w:t>
      </w:r>
      <w:r>
        <w:t xml:space="preserve">(Wang et al. 2024)</w:t>
      </w:r>
      <w:r>
        <w:t xml:space="preserve"> </w:t>
      </w:r>
      <w:r>
        <w:t xml:space="preserve">generalises the action space to arbitrary Python code executed within a persistent code-interpreter sandbox, enabling stateful execution across reasoning turns and access to numerical libraries and file I/O. The substrate, however, remains a single interpreter, and the agent’s wall-clock cost is determined by the script’s serial execution time. LLMCompiler </w:t>
      </w:r>
      <w:r>
        <w:t xml:space="preserve">(Kim et al. 2024)</w:t>
      </w:r>
      <w:r>
        <w:t xml:space="preserve"> </w:t>
      </w:r>
      <w:r>
        <w:t xml:space="preserve">introduces a form of parallelism by analysing a query into a dependency graph and dispatching independent calls to existing tools concurrently, yielding latency reductions of up to a factor of 3.7 on multi-hop question-answering tasks. The parallelism it exploits, however, exists at the level of tool calls rather than within a single computation, and the system neither provisions compute resources nor compiles new code.</w:t>
      </w:r>
    </w:p>
    <w:p>
      <w:pPr>
        <w:pStyle w:val="BodyText"/>
      </w:pPr>
      <w:r>
        <w:rPr>
          <w:i/>
          <w:iCs/>
        </w:rPr>
        <w:t xml:space="preserve">Language models and parallel code generation.</w:t>
      </w:r>
      <w:r>
        <w:t xml:space="preserve"> </w:t>
      </w:r>
      <w:r>
        <w:t xml:space="preserve">A separate line of research evaluates the capability of language models to generate parallel programs. ParEval </w:t>
      </w:r>
      <w:r>
        <w:t xml:space="preserve">(Nichols et al. 2024)</w:t>
      </w:r>
      <w:r>
        <w:t xml:space="preserve"> </w:t>
      </w:r>
      <w:r>
        <w:t xml:space="preserve">benchmarks code generation in MPI, OpenMP, CUDA, and Kokkos across 420 problems and reports a marked decrease in correctness relative to equivalent serial implementations, with the gap widening as problem complexity increases. HPC-Coder-V2 </w:t>
      </w:r>
      <w:r>
        <w:t xml:space="preserve">(Chaturvedi et al. 2024)</w:t>
      </w:r>
      <w:r>
        <w:t xml:space="preserve"> </w:t>
      </w:r>
      <w:r>
        <w:t xml:space="preserve">reduces this gap through fine-tuning on a synthetic parallel-code corpus, while a recent evaluation of frontier models on classical high-performance computing kernels </w:t>
      </w:r>
      <w:r>
        <w:t xml:space="preserve">(Nader et al. 2025)</w:t>
      </w:r>
      <w:r>
        <w:t xml:space="preserve"> </w:t>
      </w:r>
      <w:r>
        <w:t xml:space="preserve">confirms that non-trivial memory-access patterns remain a persistent source of error. He et al. </w:t>
      </w:r>
      <w:r>
        <w:t xml:space="preserve">(Wei et al. 2025)</w:t>
      </w:r>
      <w:r>
        <w:t xml:space="preserve"> </w:t>
      </w:r>
      <w:r>
        <w:t xml:space="preserve">employ language models to optimise mappers in the Legion distributed runtime; this constitutes an effective specialisation, but it presupposes the existence of a parallel program rather than its generation.</w:t>
      </w:r>
    </w:p>
    <w:p>
      <w:pPr>
        <w:pStyle w:val="BodyText"/>
      </w:pPr>
      <w:r>
        <w:t xml:space="preserve">The cumulative finding of this line of work is that requiring a language model to express parallelism explicitly degrades the quality of its output. A model that produces a clean serial loop frequently fails to render the same loop correctly when synchronisation primitives such as</w:t>
      </w:r>
      <w:r>
        <w:t xml:space="preserve"> </w:t>
      </w:r>
      <w:r>
        <w:rPr>
          <w:rStyle w:val="VerbatimChar"/>
        </w:rPr>
        <w:t xml:space="preserve">MPI_Bcast</w:t>
      </w:r>
      <w:r>
        <w:t xml:space="preserve">,</w:t>
      </w:r>
      <w:r>
        <w:t xml:space="preserve"> </w:t>
      </w:r>
      <w:r>
        <w:rPr>
          <w:rStyle w:val="VerbatimChar"/>
        </w:rPr>
        <w:t xml:space="preserve">#pragma omp parallel for</w:t>
      </w:r>
      <w:r>
        <w:t xml:space="preserve">, or a CUDA kernel launch are involved.</w:t>
      </w:r>
    </w:p>
    <w:p>
      <w:pPr>
        <w:pStyle w:val="BodyText"/>
      </w:pPr>
      <w:r>
        <w:rPr>
          <w:i/>
          <w:iCs/>
        </w:rPr>
        <w:t xml:space="preserve">The Model Context Protocol.</w:t>
      </w:r>
      <w:r>
        <w:t xml:space="preserve"> </w:t>
      </w:r>
      <w:r>
        <w:t xml:space="preserve">The Model Context Protocol, introduced by Anthropic in 2024 </w:t>
      </w:r>
      <w:r>
        <w:t xml:space="preserve">(Anthropic 2024)</w:t>
      </w:r>
      <w:r>
        <w:t xml:space="preserve">, specifies a standard JSON-RPC interface for agent–tool integration. The survey of Hou et al. </w:t>
      </w:r>
      <w:r>
        <w:t xml:space="preserve">(Hou et al. 2025)</w:t>
      </w:r>
      <w:r>
        <w:t xml:space="preserve"> </w:t>
      </w:r>
      <w:r>
        <w:t xml:space="preserve">catalogues the early MCP ecosystem and identifies security concerns including prompt injection and tool poisoning, but reports no published work that uses MCP to expose distributed computing infrastructure. A complementary study of public MCP tool descriptions </w:t>
      </w:r>
      <w:r>
        <w:t xml:space="preserve">(Hasan et al. 2026)</w:t>
      </w:r>
      <w:r>
        <w:t xml:space="preserve"> </w:t>
      </w:r>
      <w:r>
        <w:t xml:space="preserve">established that more than half of the surveyed tools provide inadequate documentation of purpose or parameters; this finding motivates the verbosity of the tool-description design adopted in the following section.</w:t>
      </w:r>
    </w:p>
    <w:p>
      <w:pPr>
        <w:pStyle w:val="BodyText"/>
      </w:pPr>
      <w:r>
        <w:rPr>
          <w:i/>
          <w:iCs/>
        </w:rPr>
        <w:t xml:space="preserve">The PARCS framework.</w:t>
      </w:r>
      <w:r>
        <w:t xml:space="preserve"> </w:t>
      </w:r>
      <w:r>
        <w:t xml:space="preserve">PARCS (Parallel Asynchronous Recursive Control Space) is a distributed computing platform whose computational model originates in early-1980s research on non-von Neumann architectures </w:t>
      </w:r>
      <w:r>
        <w:t xml:space="preserve">(Anisimov et al. 2017)</w:t>
      </w:r>
      <w:r>
        <w:t xml:space="preserve">. Its core abstraction is the</w:t>
      </w:r>
      <w:r>
        <w:t xml:space="preserve"> </w:t>
      </w:r>
      <w:r>
        <w:rPr>
          <w:i/>
          <w:iCs/>
        </w:rPr>
        <w:t xml:space="preserve">control space</w:t>
      </w:r>
      <w:r>
        <w:t xml:space="preserve">: a finite, dynamically extensible graph of</w:t>
      </w:r>
      <w:r>
        <w:t xml:space="preserve"> </w:t>
      </w:r>
      <w:r>
        <w:rPr>
          <w:i/>
          <w:iCs/>
        </w:rPr>
        <w:t xml:space="preserve">points</w:t>
      </w:r>
      <w:r>
        <w:t xml:space="preserve"> </w:t>
      </w:r>
      <w:r>
        <w:t xml:space="preserve">— addressable locations where executable algorithmic modules operate — connected by bidirectional</w:t>
      </w:r>
      <w:r>
        <w:t xml:space="preserve"> </w:t>
      </w:r>
      <w:r>
        <w:rPr>
          <w:i/>
          <w:iCs/>
        </w:rPr>
        <w:t xml:space="preserve">channels</w:t>
      </w:r>
      <w:r>
        <w:t xml:space="preserve">. Topologies such as trees, rings, and hypercubes are formed and modified at runtime; modules communicate asynchronously via message-passing and may spawn new points and channels during execution, giving the model its recursive character. The platform has been implemented across eight language extensions spanning PASCAL, C, Fortran, Java, CUDA, Python, and C#, with earlier cloud deployments targeting Amazon EC2 and Microsoft Azure. The present work uses the current incarnation — PARCS-C#, a .NET 10 Kubernetes-native implementation that packages daemon workers as containerised pods orchestrated by KEDA and exposes job management through a REST Host API </w:t>
      </w:r>
      <w:r>
        <w:t xml:space="preserve">(Bohusevych 2026)</w:t>
      </w:r>
      <w:r>
        <w:t xml:space="preserve">. A previous publication </w:t>
      </w:r>
      <w:r>
        <w:t xml:space="preserve">(Bohusevych and Derevianchenko 2026)</w:t>
      </w:r>
      <w:r>
        <w:t xml:space="preserve"> </w:t>
      </w:r>
      <w:r>
        <w:t xml:space="preserve">extended this deployment with KEDA-driven autoscaling and evaluated it on a distributed island-model genetic algorithm for the Travelling Salesman Problem, showing 20–48 % shorter routes than sequential execution on the same time budget with 13–25 % communication overhead. That result establishes the viability of PARCS as a parallel runtime; it does not address the agent-facing interface that is the subject of this paper.</w:t>
      </w:r>
    </w:p>
    <w:p>
      <w:pPr>
        <w:pStyle w:val="BodyText"/>
      </w:pPr>
      <w:r>
        <w:rPr>
          <w:i/>
          <w:iCs/>
        </w:rPr>
        <w:t xml:space="preserve">Identified gap and research aim.</w:t>
      </w:r>
      <w:r>
        <w:t xml:space="preserve"> </w:t>
      </w:r>
      <w:r>
        <w:t xml:space="preserve">Three observations follow from the literature reviewed above. First, every published agent framework executes agent-generated code within a single-threaded substrate, which limits the effective compute envelope available to the agent. Second, attempts to obtain parallelism by requesting the agent to generate parallel code conflict with the documented deficiencies of LLMs in this task. Third, no prior work employs MCP as the interface between an agent and a distributed compute runtime, despite MCP being well-suited to the role.</w:t>
      </w:r>
    </w:p>
    <w:p>
      <w:pPr>
        <w:pStyle w:val="BodyText"/>
      </w:pPr>
      <w:r>
        <w:t xml:space="preserve">The aim of the present work is therefore to design and describe an architectural pattern in which a language-model agent harnesses a Kubernetes-based PARCS cluster through Model Context Protocol tools by submitting per-worker logic in straight-line C# at runtime, without itself producing parallel code. The remainder of the paper presents this pattern, the protocol surface, and a Monte Carlo Value-at-Risk case study illustrating the full execution lifecycle. Quantitative evaluation is reserved for a separate publication.</w:t>
      </w:r>
    </w:p>
    <w:p>
      <w:pPr>
        <w:pStyle w:val="BodyText"/>
      </w:pPr>
      <w:r>
        <w:rPr>
          <w:b/>
          <w:bCs/>
        </w:rPr>
        <w:t xml:space="preserve">Main material and results.</w:t>
      </w:r>
    </w:p>
    <w:p>
      <w:pPr>
        <w:pStyle w:val="BodyText"/>
      </w:pPr>
      <w:r>
        <w:rPr>
          <w:b/>
          <w:bCs/>
        </w:rPr>
        <w:t xml:space="preserve">PARCS-Agent architecture</w:t>
      </w:r>
    </w:p>
    <w:p>
      <w:pPr>
        <w:pStyle w:val="BodyText"/>
      </w:pPr>
      <w:r>
        <w:t xml:space="preserve">PARCS-Agent comprises three cooperating components: an MCP server, the existing PARCS Host and Daemon services, and a thin runtime contract shared between them. The MCP server is implemented as an ASP.NET Core service (</w:t>
      </w:r>
      <w:r>
        <w:rPr>
          <w:rStyle w:val="VerbatimChar"/>
        </w:rPr>
        <w:t xml:space="preserve">Parcs.Agent.Mcp</w:t>
      </w:r>
      <w:r>
        <w:t xml:space="preserve">) deployed alongside the PARCS Host within the same Kubernetes namespace. It encapsulates five collaborating internal services: a</w:t>
      </w:r>
      <w:r>
        <w:t xml:space="preserve"> </w:t>
      </w:r>
      <w:r>
        <w:rPr>
          <w:rStyle w:val="VerbatimChar"/>
        </w:rPr>
        <w:t xml:space="preserve">RoslynCompilerService</w:t>
      </w:r>
      <w:r>
        <w:t xml:space="preserve">, which compiles agent-supplied source against the agent runtime contract; a</w:t>
      </w:r>
      <w:r>
        <w:t xml:space="preserve"> </w:t>
      </w:r>
      <w:r>
        <w:rPr>
          <w:rStyle w:val="VerbatimChar"/>
        </w:rPr>
        <w:t xml:space="preserve">SessionManager</w:t>
      </w:r>
      <w:r>
        <w:t xml:space="preserve">, which maintains compiled sessions and their layer history; a</w:t>
      </w:r>
      <w:r>
        <w:t xml:space="preserve"> </w:t>
      </w:r>
      <w:r>
        <w:rPr>
          <w:rStyle w:val="VerbatimChar"/>
        </w:rPr>
        <w:t xml:space="preserve">ClusterInfoService</w:t>
      </w:r>
      <w:r>
        <w:t xml:space="preserve">, which queries the Kubernetes API for current capacity; a</w:t>
      </w:r>
      <w:r>
        <w:t xml:space="preserve"> </w:t>
      </w:r>
      <w:r>
        <w:rPr>
          <w:rStyle w:val="VerbatimChar"/>
        </w:rPr>
        <w:t xml:space="preserve">ParcsApiClient</w:t>
      </w:r>
      <w:r>
        <w:t xml:space="preserve">, which submits jobs to the PARCS Host through its existing REST surface; and an</w:t>
      </w:r>
      <w:r>
        <w:t xml:space="preserve"> </w:t>
      </w:r>
      <w:r>
        <w:rPr>
          <w:rStyle w:val="VerbatimChar"/>
        </w:rPr>
        <w:t xml:space="preserve">AgentRunnerModuleRegistrar</w:t>
      </w:r>
      <w:r>
        <w:t xml:space="preserve"> </w:t>
      </w:r>
      <w:r>
        <w:t xml:space="preserve">hosted service that registers the agent-runner module at start-up.</w:t>
      </w:r>
    </w:p>
    <w:p>
      <w:pPr>
        <w:pStyle w:val="BodyText"/>
      </w:pPr>
      <w:r>
        <w:t xml:space="preserve">The agent does not communicate with the PARCS Host directly. All interaction proceeds through the MCP server, which simultaneously functions as a translation layer between MCP and PARCS job semantics and as a state owner for compiled sessions, layer outputs, and the dataset cache.</w:t>
      </w:r>
    </w:p>
    <w:p>
      <w:pPr>
        <w:pStyle w:val="BodyText"/>
      </w:pPr>
      <w:r>
        <w:rPr>
          <w:b/>
          <w:bCs/>
        </w:rPr>
        <w:t xml:space="preserve">Рис. 1.</w:t>
      </w:r>
      <w:r>
        <w:t xml:space="preserve"> </w:t>
      </w:r>
      <w:r>
        <w:t xml:space="preserve"> </w:t>
      </w:r>
      <w:r>
        <w:rPr>
          <w:lang w:val="uk"/>
        </w:rPr>
        <w:t xml:space="preserve">Виконавчий потік PARCS-Agent: агент взаємодіє з MCP-сервером у Kubernetes, який компілює подану логіку, диспетчеризує її через PARCS Host і повертає результати.</w:t>
      </w:r>
      <w:r>
        <w:t xml:space="preserve"> </w:t>
      </w:r>
      <w:r>
        <w:t xml:space="preserve"> / </w:t>
      </w:r>
      <w:r>
        <w:rPr>
          <w:b/>
          <w:bCs/>
        </w:rPr>
        <w:t xml:space="preserve">Fig. 1.</w:t>
      </w:r>
      <w:r>
        <w:t xml:space="preserve"> </w:t>
      </w:r>
      <w:r>
        <w:t xml:space="preserve"> </w:t>
      </w:r>
      <w:r>
        <w:t xml:space="preserve">PARCS-Agent execution flow: the agent communicates with a Kubernetes-resident MCP server, which compiles agent-supplied code, dispatches it through the PARCS Host, and propagates results back. KEDA scales daemon pods on demand; bulk inputs traverse a shared NFS volume rather than the protocol.</w:t>
      </w:r>
    </w:p>
    <w:p>
      <w:pPr>
        <w:pStyle w:val="BodyText"/>
      </w:pPr>
      <w:r>
        <w:t xml:space="preserve">The architecture has two characteristic properties. First, all parallelism is encapsulated below the MCP boundary, so that the agent only observes synchronous tool invocations. Second, bulk input data does not transit the protocol: the MCP server retrieves a referenced URL once into a shared volume and provides each worker with an identical on-disk path, eliminating the per-worker file replication that would otherwise occur.</w:t>
      </w:r>
    </w:p>
    <w:p>
      <w:pPr>
        <w:pStyle w:val="BodyText"/>
      </w:pPr>
      <w:r>
        <w:rPr>
          <w:b/>
          <w:bCs/>
        </w:rPr>
        <w:t xml:space="preserve">The MCP tool surface</w:t>
      </w:r>
    </w:p>
    <w:p>
      <w:pPr>
        <w:pStyle w:val="BodyText"/>
      </w:pPr>
      <w:r>
        <w:t xml:space="preserve">The MCP server exposes four tools, summarised in Table 1. The tool definitions correspond directly to the production source</w:t>
      </w:r>
      <w:r>
        <w:t xml:space="preserve"> </w:t>
      </w:r>
      <w:r>
        <w:rPr>
          <w:rStyle w:val="VerbatimChar"/>
        </w:rPr>
        <w:t xml:space="preserve">ParcsAgentTools.cs</w:t>
      </w:r>
      <w:r>
        <w:t xml:space="preserve"> </w:t>
      </w:r>
      <w:r>
        <w:t xml:space="preserve">in </w:t>
      </w:r>
      <w:r>
        <w:t xml:space="preserve">(Bohusevych 2026)</w:t>
      </w:r>
      <w:r>
        <w:t xml:space="preserve">.</w:t>
      </w:r>
    </w:p>
    <w:p>
      <w:pPr>
        <w:pStyle w:val="BodyText"/>
      </w:pPr>
      <w:r>
        <w:rPr>
          <w:b/>
          <w:bCs/>
        </w:rPr>
        <w:t xml:space="preserve">Таблиця 1.</w:t>
      </w:r>
      <w:r>
        <w:t xml:space="preserve"> </w:t>
      </w:r>
      <w:r>
        <w:t xml:space="preserve"> </w:t>
      </w:r>
      <w:r>
        <w:rPr>
          <w:lang w:val="uk"/>
        </w:rPr>
        <w:t xml:space="preserve">Інструменти MCP-сервера PARCS-Agent.</w:t>
      </w:r>
      <w:r>
        <w:t xml:space="preserve"> </w:t>
      </w:r>
      <w:r>
        <w:t xml:space="preserve"> / </w:t>
      </w:r>
      <w:r>
        <w:rPr>
          <w:b/>
          <w:bCs/>
        </w:rPr>
        <w:t xml:space="preserve">Table 1.</w:t>
      </w:r>
      <w:r>
        <w:t xml:space="preserve"> </w:t>
      </w:r>
      <w:r>
        <w:t xml:space="preserve"> </w:t>
      </w:r>
      <w:r>
        <w:t xml:space="preserve">PARCS-Agent MCP tool surface.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Tool</w:t>
            </w:r>
          </w:p>
        </w:tc>
        <w:tc>
          <w:tcPr/>
          <w:p>
            <w:pPr>
              <w:pStyle w:val="Compact"/>
              <w:jc w:val="left"/>
            </w:pPr>
            <w:r>
              <w:rPr>
                <w:b/>
                <w:bCs/>
              </w:rPr>
              <w:t xml:space="preserve">Purpose</w:t>
            </w:r>
          </w:p>
        </w:tc>
        <w:tc>
          <w:tcPr/>
          <w:p>
            <w:pPr>
              <w:pStyle w:val="Compact"/>
              <w:jc w:val="left"/>
            </w:pPr>
            <w:r>
              <w:rPr>
                <w:b/>
                <w:bCs/>
              </w:rPr>
              <w:t xml:space="preserve">Key inputs</w:t>
            </w:r>
          </w:p>
        </w:tc>
        <w:tc>
          <w:tcPr/>
          <w:p>
            <w:pPr>
              <w:pStyle w:val="Compact"/>
              <w:jc w:val="left"/>
            </w:pPr>
            <w:r>
              <w:rPr>
                <w:b/>
                <w:bCs/>
              </w:rPr>
              <w:t xml:space="preserve">Returns</w:t>
            </w:r>
          </w:p>
        </w:tc>
      </w:tr>
      <w:tr>
        <w:tc>
          <w:tcPr/>
          <w:p>
            <w:pPr>
              <w:pStyle w:val="Compact"/>
              <w:jc w:val="left"/>
            </w:pPr>
            <w:r>
              <w:rPr>
                <w:rStyle w:val="VerbatimChar"/>
              </w:rPr>
              <w:t xml:space="preserve">get_cluster_info</w:t>
            </w:r>
          </w:p>
        </w:tc>
        <w:tc>
          <w:tcPr/>
          <w:p>
            <w:pPr>
              <w:pStyle w:val="Compact"/>
              <w:jc w:val="left"/>
            </w:pPr>
            <w:r>
              <w:t xml:space="preserve">Capability discovery</w:t>
            </w:r>
          </w:p>
        </w:tc>
        <w:tc>
          <w:tcPr/>
          <w:p>
            <w:pPr>
              <w:pStyle w:val="Compact"/>
              <w:jc w:val="left"/>
            </w:pPr>
            <w:r>
              <w:t xml:space="preserve">—</w:t>
            </w:r>
          </w:p>
        </w:tc>
        <w:tc>
          <w:tcPr/>
          <w:p>
            <w:pPr>
              <w:pStyle w:val="Compact"/>
              <w:jc w:val="left"/>
            </w:pPr>
            <w:r>
              <w:rPr>
                <w:rStyle w:val="VerbatimChar"/>
              </w:rPr>
              <w:t xml:space="preserve">{workerNodeCount, maxParallelism, daemonCpuRequestMillicores}</w:t>
            </w:r>
          </w:p>
        </w:tc>
      </w:tr>
      <w:tr>
        <w:tc>
          <w:tcPr/>
          <w:p>
            <w:pPr>
              <w:pStyle w:val="Compact"/>
              <w:jc w:val="left"/>
            </w:pPr>
            <w:r>
              <w:rPr>
                <w:rStyle w:val="VerbatimChar"/>
              </w:rPr>
              <w:t xml:space="preserve">create_session</w:t>
            </w:r>
          </w:p>
        </w:tc>
        <w:tc>
          <w:tcPr/>
          <w:p>
            <w:pPr>
              <w:pStyle w:val="Compact"/>
              <w:jc w:val="left"/>
            </w:pPr>
            <w:r>
              <w:t xml:space="preserve">Compile and register an</w:t>
            </w:r>
            <w:r>
              <w:t xml:space="preserve"> </w:t>
            </w:r>
            <w:r>
              <w:rPr>
                <w:rStyle w:val="VerbatimChar"/>
              </w:rPr>
              <w:t xml:space="preserve">IAgentComputation</w:t>
            </w:r>
            <w:r>
              <w:t xml:space="preserve"> </w:t>
            </w:r>
            <w:r>
              <w:t xml:space="preserve">class</w:t>
            </w:r>
          </w:p>
        </w:tc>
        <w:tc>
          <w:tcPr/>
          <w:p>
            <w:pPr>
              <w:pStyle w:val="Compact"/>
              <w:jc w:val="left"/>
            </w:pPr>
            <w:r>
              <w:rPr>
                <w:rStyle w:val="VerbatimChar"/>
              </w:rPr>
              <w:t xml:space="preserve">sourceCode</w:t>
            </w:r>
            <w:r>
              <w:t xml:space="preserve"> </w:t>
            </w:r>
            <w:r>
              <w:t xml:space="preserve">(C#)</w:t>
            </w:r>
          </w:p>
        </w:tc>
        <w:tc>
          <w:tcPr/>
          <w:p>
            <w:pPr>
              <w:pStyle w:val="Compact"/>
              <w:jc w:val="left"/>
            </w:pPr>
            <w:r>
              <w:rPr>
                <w:rStyle w:val="VerbatimChar"/>
              </w:rPr>
              <w:t xml:space="preserve">{sessionId}</w:t>
            </w:r>
            <w:r>
              <w:t xml:space="preserve"> </w:t>
            </w:r>
            <w:r>
              <w:t xml:space="preserve">or</w:t>
            </w:r>
            <w:r>
              <w:t xml:space="preserve"> </w:t>
            </w:r>
            <w:r>
              <w:rPr>
                <w:rStyle w:val="VerbatimChar"/>
              </w:rPr>
              <w:t xml:space="preserve">{error}</w:t>
            </w:r>
            <w:r>
              <w:t xml:space="preserve"> </w:t>
            </w:r>
            <w:r>
              <w:t xml:space="preserve">with diagnostics</w:t>
            </w:r>
          </w:p>
        </w:tc>
      </w:tr>
      <w:tr>
        <w:tc>
          <w:tcPr/>
          <w:p>
            <w:pPr>
              <w:pStyle w:val="Compact"/>
              <w:jc w:val="left"/>
            </w:pPr>
            <w:r>
              <w:rPr>
                <w:rStyle w:val="VerbatimChar"/>
              </w:rPr>
              <w:t xml:space="preserve">run_layer</w:t>
            </w:r>
          </w:p>
        </w:tc>
        <w:tc>
          <w:tcPr/>
          <w:p>
            <w:pPr>
              <w:pStyle w:val="Compact"/>
              <w:jc w:val="left"/>
            </w:pPr>
            <w:r>
              <w:t xml:space="preserve">Execute a layer in parallel; block until completion</w:t>
            </w:r>
          </w:p>
        </w:tc>
        <w:tc>
          <w:tcPr/>
          <w:p>
            <w:pPr>
              <w:pStyle w:val="Compact"/>
              <w:jc w:val="left"/>
            </w:pPr>
            <w:r>
              <w:rPr>
                <w:rStyle w:val="VerbatimChar"/>
              </w:rPr>
              <w:t xml:space="preserve">sessionId, parallelism, previousLayerId?, customData?, parameters?, datasetUrl?</w:t>
            </w:r>
          </w:p>
        </w:tc>
        <w:tc>
          <w:tcPr/>
          <w:p>
            <w:pPr>
              <w:pStyle w:val="Compact"/>
              <w:jc w:val="left"/>
            </w:pPr>
            <w:r>
              <w:rPr>
                <w:rStyle w:val="VerbatimChar"/>
              </w:rPr>
              <w:t xml:space="preserve">{layerId, status, totalElapsedSeconds, successCount, failureCount, result}</w:t>
            </w:r>
          </w:p>
        </w:tc>
      </w:tr>
      <w:tr>
        <w:tc>
          <w:tcPr/>
          <w:p>
            <w:pPr>
              <w:pStyle w:val="Compact"/>
              <w:jc w:val="left"/>
            </w:pPr>
            <w:r>
              <w:rPr>
                <w:rStyle w:val="VerbatimChar"/>
              </w:rPr>
              <w:t xml:space="preserve">list_sessions</w:t>
            </w:r>
          </w:p>
        </w:tc>
        <w:tc>
          <w:tcPr/>
          <w:p>
            <w:pPr>
              <w:pStyle w:val="Compact"/>
              <w:jc w:val="left"/>
            </w:pPr>
            <w:r>
              <w:t xml:space="preserve">Enumerate active sessions</w:t>
            </w:r>
          </w:p>
        </w:tc>
        <w:tc>
          <w:tcPr/>
          <w:p>
            <w:pPr>
              <w:pStyle w:val="Compact"/>
              <w:jc w:val="left"/>
            </w:pPr>
            <w:r>
              <w:t xml:space="preserve">—</w:t>
            </w:r>
          </w:p>
        </w:tc>
        <w:tc>
          <w:tcPr/>
          <w:p>
            <w:pPr>
              <w:pStyle w:val="Compact"/>
              <w:jc w:val="left"/>
            </w:pPr>
            <w:r>
              <w:rPr>
                <w:rStyle w:val="VerbatimChar"/>
              </w:rPr>
              <w:t xml:space="preserve">[{sessionId, createdAt, …}]</w:t>
            </w:r>
          </w:p>
        </w:tc>
      </w:tr>
    </w:tbl>
    <w:p>
      <w:pPr>
        <w:pStyle w:val="BodyText"/>
      </w:pPr>
      <w:r>
        <w:t xml:space="preserve">The surface is deliberately minimal. There is no separate fire-and-forget execution variant of</w:t>
      </w:r>
      <w:r>
        <w:t xml:space="preserve"> </w:t>
      </w:r>
      <w:r>
        <w:rPr>
          <w:rStyle w:val="VerbatimChar"/>
        </w:rPr>
        <w:t xml:space="preserve">run_layer</w:t>
      </w:r>
      <w:r>
        <w:t xml:space="preserve">, no explicit polling endpoint, and no client-side reduction primitive; each such addition would introduce concepts to the agent’s prompt without enlarging the class of computations that the agent is able to express. Three properties of the design merit explicit discussion.</w:t>
      </w:r>
    </w:p>
    <w:p>
      <w:pPr>
        <w:pStyle w:val="BodyText"/>
      </w:pPr>
      <w:r>
        <w:rPr>
          <w:i/>
          <w:iCs/>
        </w:rPr>
        <w:t xml:space="preserve">Verbose tool descriptions as prompt content.</w:t>
      </w:r>
      <w:r>
        <w:t xml:space="preserve">Each tool’s</w:t>
      </w:r>
      <w:r>
        <w:t xml:space="preserve"> </w:t>
      </w:r>
      <w:r>
        <w:rPr>
          <w:rStyle w:val="VerbatimChar"/>
        </w:rPr>
        <w:t xml:space="preserve">[Description]</w:t>
      </w:r>
      <w:r>
        <w:t xml:space="preserve"> </w:t>
      </w:r>
      <w:r>
        <w:t xml:space="preserve">attribute provides explicit parameter bounds, example values, and the contract for the agent’s expected response. This design responds to the empirical finding </w:t>
      </w:r>
      <w:r>
        <w:t xml:space="preserve">(Hasan et al. 2026)</w:t>
      </w:r>
      <w:r>
        <w:t xml:space="preserve"> </w:t>
      </w:r>
      <w:r>
        <w:t xml:space="preserve">that the majority of public MCP tools insufficiently document their parameters. The descriptions are sufficiently concise to fit within typical LLM context windows yet sufficiently detailed to reduce the incidence of malformed agent calls.</w:t>
      </w:r>
    </w:p>
    <w:p>
      <w:pPr>
        <w:pStyle w:val="BodyText"/>
      </w:pPr>
      <w:r>
        <w:rPr>
          <w:i/>
          <w:iCs/>
        </w:rPr>
        <w:t xml:space="preserve">Reference-based result passing.</w:t>
      </w:r>
      <w:r>
        <w:t xml:space="preserve">The</w:t>
      </w:r>
      <w:r>
        <w:t xml:space="preserve"> </w:t>
      </w:r>
      <w:r>
        <w:rPr>
          <w:rStyle w:val="VerbatimChar"/>
        </w:rPr>
        <w:t xml:space="preserve">run_layer</w:t>
      </w:r>
      <w:r>
        <w:t xml:space="preserve"> </w:t>
      </w:r>
      <w:r>
        <w:t xml:space="preserve">tool returns a</w:t>
      </w:r>
      <w:r>
        <w:t xml:space="preserve"> </w:t>
      </w:r>
      <w:r>
        <w:rPr>
          <w:rStyle w:val="VerbatimChar"/>
        </w:rPr>
        <w:t xml:space="preserve">layerId</w:t>
      </w:r>
      <w:r>
        <w:t xml:space="preserve">; subsequent layers reference prior outputs through</w:t>
      </w:r>
      <w:r>
        <w:t xml:space="preserve"> </w:t>
      </w:r>
      <w:r>
        <w:rPr>
          <w:rStyle w:val="VerbatimChar"/>
        </w:rPr>
        <w:t xml:space="preserve">previousLayerId</w:t>
      </w:r>
      <w:r>
        <w:t xml:space="preserve"> </w:t>
      </w:r>
      <w:r>
        <w:t xml:space="preserve">rather than re-transmitting the full result payload. The MCP server retrieves the stored result internally and exposes it to each worker through</w:t>
      </w:r>
      <w:r>
        <w:t xml:space="preserve"> </w:t>
      </w:r>
      <w:r>
        <w:rPr>
          <w:rStyle w:val="VerbatimChar"/>
        </w:rPr>
        <w:t xml:space="preserve">input.PreviousLayerResultJson</w:t>
      </w:r>
      <w:r>
        <w:t xml:space="preserve">. This indirection avoids the transport of potentially large JSON payloads through the LLM context twice — once on the way out and once on the way back in — and bounds the agent’s reasoning trace independently of result size. The response payload returns</w:t>
      </w:r>
      <w:r>
        <w:t xml:space="preserve"> </w:t>
      </w:r>
      <w:r>
        <w:rPr>
          <w:rStyle w:val="VerbatimChar"/>
        </w:rPr>
        <w:t xml:space="preserve">result</w:t>
      </w:r>
      <w:r>
        <w:t xml:space="preserve"> </w:t>
      </w:r>
      <w:r>
        <w:t xml:space="preserve">as a structured nested object rather than as an escaped JSON string, eliminating Unicode-escaped quotes within string-in-string payloads and further reducing token consumption.</w:t>
      </w:r>
    </w:p>
    <w:p>
      <w:pPr>
        <w:pStyle w:val="BodyText"/>
      </w:pPr>
      <w:r>
        <w:rPr>
          <w:i/>
          <w:iCs/>
        </w:rPr>
        <w:t xml:space="preserve">Failure semantics that preserve session state.</w:t>
      </w:r>
      <w:r>
        <w:t xml:space="preserve">A compilation error is reported as</w:t>
      </w:r>
      <w:r>
        <w:t xml:space="preserve"> </w:t>
      </w:r>
      <w:r>
        <w:rPr>
          <w:rStyle w:val="VerbatimChar"/>
        </w:rPr>
        <w:t xml:space="preserve">{error}</w:t>
      </w:r>
      <w:r>
        <w:t xml:space="preserve"> </w:t>
      </w:r>
      <w:r>
        <w:t xml:space="preserve">from</w:t>
      </w:r>
      <w:r>
        <w:t xml:space="preserve"> </w:t>
      </w:r>
      <w:r>
        <w:rPr>
          <w:rStyle w:val="VerbatimChar"/>
        </w:rPr>
        <w:t xml:space="preserve">create_session</w:t>
      </w:r>
      <w:r>
        <w:t xml:space="preserve"> </w:t>
      </w:r>
      <w:r>
        <w:t xml:space="preserve">without affecting earlier sessions. A worker exception during</w:t>
      </w:r>
      <w:r>
        <w:t xml:space="preserve"> </w:t>
      </w:r>
      <w:r>
        <w:rPr>
          <w:rStyle w:val="VerbatimChar"/>
        </w:rPr>
        <w:t xml:space="preserve">run_layer</w:t>
      </w:r>
      <w:r>
        <w:t xml:space="preserve"> </w:t>
      </w:r>
      <w:r>
        <w:t xml:space="preserve">is reported with</w:t>
      </w:r>
      <w:r>
        <w:t xml:space="preserve"> </w:t>
      </w:r>
      <w:r>
        <w:rPr>
          <w:rStyle w:val="VerbatimChar"/>
        </w:rPr>
        <w:t xml:space="preserve">status: "Failed"</w:t>
      </w:r>
      <w:r>
        <w:t xml:space="preserve"> </w:t>
      </w:r>
      <w:r>
        <w:t xml:space="preserve">and accompanying diagnostic detail, including a hint when the failure mode is recognisable (such as out-of-memory). The session itself remains usable, and recovery proceeds by submitting corrected source through</w:t>
      </w:r>
      <w:r>
        <w:t xml:space="preserve"> </w:t>
      </w:r>
      <w:r>
        <w:rPr>
          <w:rStyle w:val="VerbatimChar"/>
        </w:rPr>
        <w:t xml:space="preserve">create_session</w:t>
      </w:r>
      <w:r>
        <w:t xml:space="preserve"> </w:t>
      </w:r>
      <w:r>
        <w:t xml:space="preserve">and resuming with the last successful</w:t>
      </w:r>
      <w:r>
        <w:t xml:space="preserve"> </w:t>
      </w:r>
      <w:r>
        <w:rPr>
          <w:rStyle w:val="VerbatimChar"/>
        </w:rPr>
        <w:t xml:space="preserve">layerId</w:t>
      </w:r>
      <w:r>
        <w:t xml:space="preserve"> </w:t>
      </w:r>
      <w:r>
        <w:t xml:space="preserve">passed as</w:t>
      </w:r>
      <w:r>
        <w:t xml:space="preserve"> </w:t>
      </w:r>
      <w:r>
        <w:rPr>
          <w:rStyle w:val="VerbatimChar"/>
        </w:rPr>
        <w:t xml:space="preserve">previousLayerId</w:t>
      </w:r>
      <w:r>
        <w:t xml:space="preserve">. No prior work is lost. This semantics accommodates the empirical observation that LLMs occasionally produce correct code only on a second attempt, in which case a less forgiving protocol would force redundant re-execution.</w:t>
      </w:r>
    </w:p>
    <w:p>
      <w:pPr>
        <w:pStyle w:val="BodyText"/>
      </w:pPr>
      <w:r>
        <w:rPr>
          <w:b/>
          <w:bCs/>
        </w:rPr>
        <w:t xml:space="preserve">The layer execution model</w:t>
      </w:r>
    </w:p>
    <w:p>
      <w:pPr>
        <w:pStyle w:val="BodyText"/>
      </w:pPr>
      <w:r>
        <w:t xml:space="preserve">A computation is decomposed into a sequence of</w:t>
      </w:r>
      <w:r>
        <w:t xml:space="preserve"> </w:t>
      </w:r>
      <w:r>
        <w:rPr>
          <w:i/>
          <w:iCs/>
        </w:rPr>
        <w:t xml:space="preserve">layers</w:t>
      </w:r>
      <w:r>
        <w:t xml:space="preserve">. Each layer comprises a parallel fan-out across</w:t>
      </w:r>
      <w:r>
        <w:t xml:space="preserve"> </w:t>
      </w:r>
      <m:oMath>
        <m:r>
          <m:t>N</m:t>
        </m:r>
      </m:oMath>
      <w:r>
        <w:t xml:space="preserve"> </w:t>
      </w:r>
      <w:r>
        <w:t xml:space="preserve">workers, a barrier, and a single aggregated JSON value that constitutes the input to the subsequent layer. This fan-out / barrier construct is the only execution primitive exposed to the agent; the protocol provides no direct support for point-to-point communication, scatter–gather, or shared memory.</w:t>
      </w:r>
    </w:p>
    <w:p>
      <w:pPr>
        <w:pStyle w:val="BodyText"/>
      </w:pPr>
      <w:r>
        <w:t xml:space="preserve">The agent-side contract is the single-method interface</w:t>
      </w:r>
      <w:r>
        <w:t xml:space="preserve"> </w:t>
      </w:r>
      <w:r>
        <w:rPr>
          <w:rStyle w:val="VerbatimChar"/>
        </w:rPr>
        <w:t xml:space="preserve">IAgentComputation</w:t>
      </w:r>
      <w:r>
        <w:t xml:space="preserve"> </w:t>
      </w:r>
      <w:r>
        <w:t xml:space="preserve">from</w:t>
      </w:r>
      <w:r>
        <w:t xml:space="preserve"> </w:t>
      </w:r>
      <w:r>
        <w:rPr>
          <w:rStyle w:val="VerbatimChar"/>
        </w:rPr>
        <w:t xml:space="preserve">Parcs.Agent.Runtime</w:t>
      </w:r>
      <w:r>
        <w:t xml:space="preserve">:</w:t>
      </w:r>
    </w:p>
    <w:p>
      <w:pPr>
        <w:pStyle w:val="SourceCode"/>
      </w:pPr>
      <w:r>
        <w:rPr>
          <w:rStyle w:val="VerbatimChar"/>
        </w:rPr>
        <w:t xml:space="preserve">public interface IAgentComputation</w:t>
      </w:r>
      <w:r>
        <w:br/>
      </w:r>
      <w:r>
        <w:rPr>
          <w:rStyle w:val="VerbatimChar"/>
        </w:rPr>
        <w:t xml:space="preserve">{</w:t>
      </w:r>
      <w:r>
        <w:br/>
      </w:r>
      <w:r>
        <w:rPr>
          <w:rStyle w:val="VerbatimChar"/>
        </w:rPr>
        <w:t xml:space="preserve">    Task&lt;AgentLayerResult&gt; ExecuteAsync(</w:t>
      </w:r>
      <w:r>
        <w:br/>
      </w:r>
      <w:r>
        <w:rPr>
          <w:rStyle w:val="VerbatimChar"/>
        </w:rPr>
        <w:t xml:space="preserve">        AgentLayerInput input, CancellationToken ct = default);</w:t>
      </w:r>
      <w:r>
        <w:br/>
      </w:r>
      <w:r>
        <w:rPr>
          <w:rStyle w:val="VerbatimChar"/>
        </w:rPr>
        <w:t xml:space="preserve">}</w:t>
      </w:r>
    </w:p>
    <w:p>
      <w:pPr>
        <w:pStyle w:val="FirstParagraph"/>
      </w:pPr>
      <w:r>
        <w:t xml:space="preserve">The</w:t>
      </w:r>
      <w:r>
        <w:t xml:space="preserve"> </w:t>
      </w:r>
      <w:r>
        <w:rPr>
          <w:rStyle w:val="VerbatimChar"/>
        </w:rPr>
        <w:t xml:space="preserve">AgentLayerInput</w:t>
      </w:r>
      <w:r>
        <w:t xml:space="preserve"> </w:t>
      </w:r>
      <w:r>
        <w:t xml:space="preserve">type exposes the fields</w:t>
      </w:r>
      <w:r>
        <w:t xml:space="preserve"> </w:t>
      </w:r>
      <w:r>
        <w:rPr>
          <w:rStyle w:val="VerbatimChar"/>
        </w:rPr>
        <w:t xml:space="preserve">WorkerIndex</w:t>
      </w:r>
      <w:r>
        <w:t xml:space="preserve">,</w:t>
      </w:r>
      <w:r>
        <w:t xml:space="preserve"> </w:t>
      </w:r>
      <w:r>
        <w:rPr>
          <w:rStyle w:val="VerbatimChar"/>
        </w:rPr>
        <w:t xml:space="preserve">TotalWorkers</w:t>
      </w:r>
      <w:r>
        <w:t xml:space="preserve">,</w:t>
      </w:r>
      <w:r>
        <w:t xml:space="preserve"> </w:t>
      </w:r>
      <w:r>
        <w:rPr>
          <w:rStyle w:val="VerbatimChar"/>
        </w:rPr>
        <w:t xml:space="preserve">PreviousLayerResultJson</w:t>
      </w:r>
      <w:r>
        <w:t xml:space="preserve">,</w:t>
      </w:r>
      <w:r>
        <w:t xml:space="preserve"> </w:t>
      </w:r>
      <w:r>
        <w:rPr>
          <w:rStyle w:val="VerbatimChar"/>
        </w:rPr>
        <w:t xml:space="preserve">CustomData</w:t>
      </w:r>
      <w:r>
        <w:t xml:space="preserve">,</w:t>
      </w:r>
      <w:r>
        <w:t xml:space="preserve"> </w:t>
      </w:r>
      <w:r>
        <w:rPr>
          <w:rStyle w:val="VerbatimChar"/>
        </w:rPr>
        <w:t xml:space="preserve">Parameters</w:t>
      </w:r>
      <w:r>
        <w:t xml:space="preserve">, and</w:t>
      </w:r>
      <w:r>
        <w:t xml:space="preserve"> </w:t>
      </w:r>
      <w:r>
        <w:rPr>
          <w:rStyle w:val="VerbatimChar"/>
        </w:rPr>
        <w:t xml:space="preserve">DatasetPath</w:t>
      </w:r>
      <w:r>
        <w:t xml:space="preserve">; the worker returns either</w:t>
      </w:r>
      <w:r>
        <w:t xml:space="preserve"> </w:t>
      </w:r>
      <w:r>
        <w:rPr>
          <w:rStyle w:val="VerbatimChar"/>
        </w:rPr>
        <w:t xml:space="preserve">AgentLayerResult.Ok(outputJson)</w:t>
      </w:r>
      <w:r>
        <w:t xml:space="preserve"> </w:t>
      </w:r>
      <w:r>
        <w:t xml:space="preserve">or</w:t>
      </w:r>
      <w:r>
        <w:t xml:space="preserve"> </w:t>
      </w:r>
      <w:r>
        <w:rPr>
          <w:rStyle w:val="VerbatimChar"/>
        </w:rPr>
        <w:t xml:space="preserve">AgentLayerResult.Error(message)</w:t>
      </w:r>
      <w:r>
        <w:t xml:space="preserve">. The body of</w:t>
      </w:r>
      <w:r>
        <w:t xml:space="preserve"> </w:t>
      </w:r>
      <w:r>
        <w:rPr>
          <w:rStyle w:val="VerbatimChar"/>
        </w:rPr>
        <w:t xml:space="preserve">ExecuteAsync</w:t>
      </w:r>
      <w:r>
        <w:t xml:space="preserve"> </w:t>
      </w:r>
      <w:r>
        <w:t xml:space="preserve">is written by the agent as straight-line C#, in the same paradigm employed within a single-threaded sandbox. Fan-out, fan-in, JSON marshalling, and inter-worker isolation are the responsibility of the platform.</w:t>
      </w:r>
    </w:p>
    <w:p>
      <w:pPr>
        <w:pStyle w:val="BodyText"/>
      </w:pPr>
      <w:r>
        <w:rPr>
          <w:b/>
          <w:bCs/>
        </w:rPr>
        <w:t xml:space="preserve">Рис. 2.</w:t>
      </w:r>
      <w:r>
        <w:t xml:space="preserve"> </w:t>
      </w:r>
      <w:r>
        <w:t xml:space="preserve"> </w:t>
      </w:r>
      <w:r>
        <w:rPr>
          <w:lang w:val="uk"/>
        </w:rPr>
        <w:t xml:space="preserve">Послідовність двошарового агентного обчислення: виявлення можливостей виконується одноразово;</w:t>
      </w:r>
      <w:r>
        <w:rPr>
          <w:lang w:val="uk"/>
        </w:rPr>
        <w:t xml:space="preserve"> </w:t>
      </w:r>
      <w:r>
        <w:rPr>
          <w:rStyle w:val="VerbatimChar"/>
          <w:lang w:val="uk"/>
        </w:rPr>
        <w:t xml:space="preserve">create_session</w:t>
      </w:r>
      <w:r>
        <w:rPr>
          <w:lang w:val="uk"/>
        </w:rPr>
        <w:t xml:space="preserve"> </w:t>
      </w:r>
      <w:r>
        <w:rPr>
          <w:lang w:val="uk"/>
        </w:rPr>
        <w:t xml:space="preserve">компілює код агента;</w:t>
      </w:r>
      <w:r>
        <w:rPr>
          <w:lang w:val="uk"/>
        </w:rPr>
        <w:t xml:space="preserve"> </w:t>
      </w:r>
      <w:r>
        <w:rPr>
          <w:rStyle w:val="VerbatimChar"/>
          <w:lang w:val="uk"/>
        </w:rPr>
        <w:t xml:space="preserve">run_layer</w:t>
      </w:r>
      <w:r>
        <w:rPr>
          <w:lang w:val="uk"/>
        </w:rPr>
        <w:t xml:space="preserve"> </w:t>
      </w:r>
      <w:r>
        <w:rPr>
          <w:lang w:val="uk"/>
        </w:rPr>
        <w:t xml:space="preserve">викликається один раз на шар.</w:t>
      </w:r>
      <w:r>
        <w:t xml:space="preserve"> </w:t>
      </w:r>
      <w:r>
        <w:t xml:space="preserve"> / </w:t>
      </w:r>
      <w:r>
        <w:rPr>
          <w:b/>
          <w:bCs/>
        </w:rPr>
        <w:t xml:space="preserve">Fig. 2.</w:t>
      </w:r>
      <w:r>
        <w:t xml:space="preserve"> </w:t>
      </w:r>
      <w:r>
        <w:t xml:space="preserve"> </w:t>
      </w:r>
      <w:r>
        <w:t xml:space="preserve">Sequence of a representative two-layer agent computation. Capability discovery is performed once;</w:t>
      </w:r>
      <w:r>
        <w:t xml:space="preserve"> </w:t>
      </w:r>
      <w:r>
        <w:rPr>
          <w:rStyle w:val="VerbatimChar"/>
        </w:rPr>
        <w:t xml:space="preserve">create_session</w:t>
      </w:r>
      <w:r>
        <w:t xml:space="preserve"> </w:t>
      </w:r>
      <w:r>
        <w:t xml:space="preserve">compiles the agent’s code;</w:t>
      </w:r>
      <w:r>
        <w:t xml:space="preserve"> </w:t>
      </w:r>
      <w:r>
        <w:rPr>
          <w:rStyle w:val="VerbatimChar"/>
        </w:rPr>
        <w:t xml:space="preserve">run_layer</w:t>
      </w:r>
      <w:r>
        <w:t xml:space="preserve"> </w:t>
      </w:r>
      <w:r>
        <w:t xml:space="preserve">is invoked once per layer, with the prior layer’s output threaded forward by reference.</w:t>
      </w:r>
    </w:p>
    <w:p>
      <w:pPr>
        <w:pStyle w:val="BodyText"/>
      </w:pPr>
      <w:r>
        <w:rPr>
          <w:i/>
          <w:iCs/>
        </w:rPr>
        <w:t xml:space="preserve">Dataset distribution.</w:t>
      </w:r>
      <w:r>
        <w:t xml:space="preserve">Many agent workloads consume a large shared input such as a covariance matrix, a feature table, or a corpus file. Marshalling such inputs through the protocol replicates the data across workers and burdens the MCP transport. To address this case,</w:t>
      </w:r>
      <w:r>
        <w:t xml:space="preserve"> </w:t>
      </w:r>
      <w:r>
        <w:rPr>
          <w:rStyle w:val="VerbatimChar"/>
        </w:rPr>
        <w:t xml:space="preserve">run_layer</w:t>
      </w:r>
      <w:r>
        <w:t xml:space="preserve"> </w:t>
      </w:r>
      <w:r>
        <w:t xml:space="preserve">accepts an optional</w:t>
      </w:r>
      <w:r>
        <w:t xml:space="preserve"> </w:t>
      </w:r>
      <w:r>
        <w:rPr>
          <w:rStyle w:val="VerbatimChar"/>
        </w:rPr>
        <w:t xml:space="preserve">datasetUrl</w:t>
      </w:r>
      <w:r>
        <w:t xml:space="preserve"> </w:t>
      </w:r>
      <w:r>
        <w:t xml:space="preserve">argument. The MCP server downloads the referenced resource once into a content-addressed directory on a shared NFS volume mounted by all daemons at the same path, and exposes that path to each worker via</w:t>
      </w:r>
      <w:r>
        <w:t xml:space="preserve"> </w:t>
      </w:r>
      <w:r>
        <w:rPr>
          <w:rStyle w:val="VerbatimChar"/>
        </w:rPr>
        <w:t xml:space="preserve">input.DatasetPath</w:t>
      </w:r>
      <w:r>
        <w:t xml:space="preserve">. Subsequent layers referencing the identical URL retrieve the file from the local cache without further transfer. The mechanism is transport-agnostic and supports any HTTP-reachable source, including HuggingFace, Google Cloud Storage, Azure Blob Storage, and private object stores.</w:t>
      </w:r>
    </w:p>
    <w:p>
      <w:pPr>
        <w:pStyle w:val="BodyText"/>
      </w:pPr>
      <w:r>
        <w:rPr>
          <w:i/>
          <w:iCs/>
        </w:rPr>
        <w:t xml:space="preserve">Choice of execution language.</w:t>
      </w:r>
      <w:r>
        <w:t xml:space="preserve">PARCS is implemented in .NET, existing modules are distributed as .NET assemblies, and Roslyn provides a JIT-quality compiler accessible from the same process as the MCP server. The use of C# preserves a single compilation and execution stack from agent input to worker output. The choice carries a trade-off: the agent must produce C# rather than Python, the language more frequently encountered in LLM pre-training. In practice, frontier models handle the language free of measurable quality degradation, in part because the generated code consists of straight-line procedural logic and contains no platform-specific parallel constructs.</w:t>
      </w:r>
    </w:p>
    <w:p>
      <w:pPr>
        <w:pStyle w:val="BodyText"/>
      </w:pPr>
      <w:r>
        <w:rPr>
          <w:b/>
          <w:bCs/>
        </w:rPr>
        <w:t xml:space="preserve">Case study: Monte Carlo Value-at-Risk</w:t>
      </w:r>
    </w:p>
    <w:p>
      <w:pPr>
        <w:pStyle w:val="BodyText"/>
      </w:pPr>
      <w:r>
        <w:t xml:space="preserve">The case considered in this subsection is drawn from a benchmark harness developed alongside the system but reserved for a future evaluation publication. The task is canonical in quantitative finance and serves here as an illustrative example: estimation of the 1-day 99 % Value-at-Risk (VaR) and Conditional Value-at-Risk (CVaR) of a portfolio of 50 equally weighted assets whose return covariance matrix</w:t>
      </w:r>
      <w:r>
        <w:t xml:space="preserve"> </w:t>
      </w:r>
      <m:oMath>
        <m:r>
          <m:rPr>
            <m:sty m:val="p"/>
          </m:rPr>
          <m:t>Σ</m:t>
        </m:r>
      </m:oMath>
      <w:r>
        <w:t xml:space="preserve"> </w:t>
      </w:r>
      <w:r>
        <w:t xml:space="preserve">is generated from a fixed random seed. The reference protocol specifies</w:t>
      </w:r>
      <w:r>
        <w:t xml:space="preserve"> </w:t>
      </w:r>
      <m:oMath>
        <m:r>
          <m:t>200</m:t>
        </m:r>
        <m:r>
          <m:t> </m:t>
        </m:r>
        <m:r>
          <m:t>000</m:t>
        </m:r>
      </m:oMath>
      <w:r>
        <w:t xml:space="preserve"> </w:t>
      </w:r>
      <w:r>
        <w:t xml:space="preserve">Monte Carlo scenarios distributed across 20 workers at</w:t>
      </w:r>
      <w:r>
        <w:t xml:space="preserve"> </w:t>
      </w:r>
      <m:oMath>
        <m:r>
          <m:t>10</m:t>
        </m:r>
        <m:r>
          <m:t> </m:t>
        </m:r>
        <m:r>
          <m:t>000</m:t>
        </m:r>
      </m:oMath>
      <w:r>
        <w:t xml:space="preserve"> </w:t>
      </w:r>
      <w:r>
        <w:t xml:space="preserve">scenarios each, a sample count for which a single-threaded sandbox is poorly suited and which is naturally addressed by fan-out across the cluster’s worker pool.</w:t>
      </w:r>
    </w:p>
    <w:p>
      <w:pPr>
        <w:pStyle w:val="BodyText"/>
      </w:pPr>
      <w:r>
        <w:t xml:space="preserve">The decomposition produced by the agent, following the system-prompt scaffold provided to it, comprises two layers preceded by a capability-discovery call:</w:t>
      </w:r>
    </w:p>
    <w:p>
      <w:pPr>
        <w:numPr>
          <w:ilvl w:val="0"/>
          <w:numId w:val="1001"/>
        </w:numPr>
      </w:pPr>
      <w:r>
        <w:rPr>
          <w:b/>
          <w:bCs/>
        </w:rPr>
        <w:t xml:space="preserve">Capability discovery.</w:t>
      </w:r>
      <w:r>
        <w:t xml:space="preserve"> </w:t>
      </w:r>
      <w:r>
        <w:t xml:space="preserve">A single invocation of</w:t>
      </w:r>
      <w:r>
        <w:t xml:space="preserve"> </w:t>
      </w:r>
      <w:r>
        <w:rPr>
          <w:rStyle w:val="VerbatimChar"/>
        </w:rPr>
        <w:t xml:space="preserve">get_cluster_info</w:t>
      </w:r>
      <w:r>
        <w:t xml:space="preserve"> </w:t>
      </w:r>
      <w:r>
        <w:t xml:space="preserve">returns</w:t>
      </w:r>
      <w:r>
        <w:t xml:space="preserve"> </w:t>
      </w:r>
      <w:r>
        <w:rPr>
          <w:rStyle w:val="VerbatimChar"/>
        </w:rPr>
        <w:t xml:space="preserve">maxParallelism</w:t>
      </w:r>
      <w:r>
        <w:t xml:space="preserve">, the upper bound used to size subsequent layers.</w:t>
      </w:r>
    </w:p>
    <w:p>
      <w:pPr>
        <w:numPr>
          <w:ilvl w:val="0"/>
          <w:numId w:val="1001"/>
        </w:numPr>
      </w:pPr>
      <w:r>
        <w:rPr>
          <w:b/>
          <w:bCs/>
        </w:rPr>
        <w:t xml:space="preserve">Layer 1 — parallel sampling (</w:t>
      </w:r>
      <w:r>
        <w:rPr>
          <w:rStyle w:val="VerbatimChar"/>
          <w:b/>
          <w:bCs/>
        </w:rPr>
        <w:t xml:space="preserve">parallelism = 20</w:t>
      </w:r>
      <w:r>
        <w:rPr>
          <w:b/>
          <w:bCs/>
        </w:rPr>
        <w:t xml:space="preserve">).</w:t>
      </w:r>
      <w:r>
        <w:t xml:space="preserve"> </w:t>
      </w:r>
      <w:r>
        <w:t xml:space="preserve">Each worker draws</w:t>
      </w:r>
      <w:r>
        <w:t xml:space="preserve"> </w:t>
      </w:r>
      <m:oMath>
        <m:r>
          <m:t>10</m:t>
        </m:r>
        <m:r>
          <m:t> </m:t>
        </m:r>
        <m:r>
          <m:t>000</m:t>
        </m:r>
      </m:oMath>
      <w:r>
        <w:t xml:space="preserve"> </w:t>
      </w:r>
      <w:r>
        <w:t xml:space="preserve">Gaussian scenarios using</w:t>
      </w:r>
      <w:r>
        <w:t xml:space="preserve"> </w:t>
      </w:r>
      <w:r>
        <w:rPr>
          <w:rStyle w:val="VerbatimChar"/>
        </w:rPr>
        <w:t xml:space="preserve">new Random(WorkerIndex * 1000 + 42)</w:t>
      </w:r>
      <w:r>
        <w:t xml:space="preserve"> </w:t>
      </w:r>
      <w:r>
        <w:t xml:space="preserve">together with the shared Cholesky factor of</w:t>
      </w:r>
      <w:r>
        <w:t xml:space="preserve"> </w:t>
      </w:r>
      <m:oMath>
        <m:r>
          <m:rPr>
            <m:sty m:val="p"/>
          </m:rPr>
          <m:t>Σ</m:t>
        </m:r>
      </m:oMath>
      <w:r>
        <w:t xml:space="preserve">, computes the per-scenario portfolio loss, and returns its loss vector serialised as JSON.</w:t>
      </w:r>
    </w:p>
    <w:p>
      <w:pPr>
        <w:numPr>
          <w:ilvl w:val="0"/>
          <w:numId w:val="1001"/>
        </w:numPr>
      </w:pPr>
      <w:r>
        <w:rPr>
          <w:b/>
          <w:bCs/>
        </w:rPr>
        <w:t xml:space="preserve">Layer 2 — aggregation (</w:t>
      </w:r>
      <w:r>
        <w:rPr>
          <w:rStyle w:val="VerbatimChar"/>
          <w:b/>
          <w:bCs/>
        </w:rPr>
        <w:t xml:space="preserve">parallelism = 1</w:t>
      </w:r>
      <w:r>
        <w:rPr>
          <w:b/>
          <w:bCs/>
        </w:rPr>
        <w:t xml:space="preserve">).</w:t>
      </w:r>
      <w:r>
        <w:t xml:space="preserve"> </w:t>
      </w:r>
      <w:r>
        <w:t xml:space="preserve">A second invocation of</w:t>
      </w:r>
      <w:r>
        <w:t xml:space="preserve"> </w:t>
      </w:r>
      <w:r>
        <w:rPr>
          <w:rStyle w:val="VerbatimChar"/>
        </w:rPr>
        <w:t xml:space="preserve">run_layer</w:t>
      </w:r>
      <w:r>
        <w:t xml:space="preserve"> </w:t>
      </w:r>
      <w:r>
        <w:t xml:space="preserve">is issued with</w:t>
      </w:r>
      <w:r>
        <w:t xml:space="preserve"> </w:t>
      </w:r>
      <w:r>
        <w:rPr>
          <w:rStyle w:val="VerbatimChar"/>
        </w:rPr>
        <w:t xml:space="preserve">previousLayerId</w:t>
      </w:r>
      <w:r>
        <w:t xml:space="preserve"> </w:t>
      </w:r>
      <w:r>
        <w:t xml:space="preserve">set to the identifier of layer 1; the server retrieves the stored result, and the single worker reads it from</w:t>
      </w:r>
      <w:r>
        <w:t xml:space="preserve"> </w:t>
      </w:r>
      <w:r>
        <w:rPr>
          <w:rStyle w:val="VerbatimChar"/>
        </w:rPr>
        <w:t xml:space="preserve">input.PreviousLayerResultJson</w:t>
      </w:r>
      <w:r>
        <w:t xml:space="preserve">. The worker concatenates the loss vectors into the full sample of</w:t>
      </w:r>
      <w:r>
        <w:t xml:space="preserve"> </w:t>
      </w:r>
      <m:oMath>
        <m:r>
          <m:t>200</m:t>
        </m:r>
        <m:r>
          <m:t> </m:t>
        </m:r>
        <m:r>
          <m:t>000</m:t>
        </m:r>
      </m:oMath>
      <w:r>
        <w:t xml:space="preserve"> </w:t>
      </w:r>
      <w:r>
        <w:t xml:space="preserve">losses, computes the empirical 99th percentile (the VaR estimate) and the conditional mean above it (the CVaR estimate), and returns</w:t>
      </w:r>
      <w:r>
        <w:t xml:space="preserve"> </w:t>
      </w:r>
      <w:r>
        <w:rPr>
          <w:rStyle w:val="VerbatimChar"/>
        </w:rPr>
        <w:t xml:space="preserve">{var_99, cvar_99}</w:t>
      </w:r>
      <w:r>
        <w:t xml:space="preserve">.</w:t>
      </w:r>
    </w:p>
    <w:p>
      <w:pPr>
        <w:pStyle w:val="FirstParagraph"/>
      </w:pPr>
      <w:r>
        <w:t xml:space="preserve">A representative excerpt of the worker layer is shown below:</w:t>
      </w:r>
    </w:p>
    <w:p>
      <w:pPr>
        <w:pStyle w:val="BodyText"/>
      </w:pPr>
      <w:r>
        <w:drawing>
          <wp:inline>
            <wp:extent cx="4533900" cy="2396490"/>
            <wp:effectExtent b="0" l="0" r="0" t="0"/>
            <wp:docPr descr="image" title="" id="11" name="Picture"/>
            <a:graphic>
              <a:graphicData uri="http://schemas.openxmlformats.org/drawingml/2006/picture">
                <pic:pic>
                  <pic:nvPicPr>
                    <pic:cNvPr descr="sources/source1.cs.png" id="12" name="Picture"/>
                    <pic:cNvPicPr>
                      <a:picLocks noChangeArrowheads="1" noChangeAspect="1"/>
                    </pic:cNvPicPr>
                  </pic:nvPicPr>
                  <pic:blipFill>
                    <a:blip r:embed="rId10"/>
                    <a:stretch>
                      <a:fillRect/>
                    </a:stretch>
                  </pic:blipFill>
                  <pic:spPr bwMode="auto">
                    <a:xfrm>
                      <a:off x="0" y="0"/>
                      <a:ext cx="4533900" cy="2396490"/>
                    </a:xfrm>
                    <a:prstGeom prst="rect">
                      <a:avLst/>
                    </a:prstGeom>
                    <a:noFill/>
                    <a:ln w="9525">
                      <a:noFill/>
                      <a:headEnd/>
                      <a:tailEnd/>
                    </a:ln>
                  </pic:spPr>
                </pic:pic>
              </a:graphicData>
            </a:graphic>
          </wp:inline>
        </w:drawing>
      </w:r>
    </w:p>
    <w:p>
      <w:pPr>
        <w:pStyle w:val="BodyText"/>
      </w:pPr>
      <w:r>
        <w:t xml:space="preserve">The implementation contains no synchronisation primitives, no channel construction, and no thread-pool configuration. The worker is functionally equivalent to a single-threaded estimator parameterised by a different random seed. Deterministic per-worker seeding from</w:t>
      </w:r>
      <w:r>
        <w:t xml:space="preserve"> </w:t>
      </w:r>
      <w:r>
        <w:rPr>
          <w:rStyle w:val="VerbatimChar"/>
        </w:rPr>
        <w:t xml:space="preserve">WorkerIndex</w:t>
      </w:r>
      <w:r>
        <w:t xml:space="preserve"> </w:t>
      </w:r>
      <w:r>
        <w:t xml:space="preserve">ensures disjoint random streams. The output is plain JSON because</w:t>
      </w:r>
      <w:r>
        <w:t xml:space="preserve"> </w:t>
      </w:r>
      <w:r>
        <w:rPr>
          <w:rStyle w:val="VerbatimChar"/>
        </w:rPr>
        <w:t xml:space="preserve">outputData</w:t>
      </w:r>
      <w:r>
        <w:t xml:space="preserve"> </w:t>
      </w:r>
      <w:r>
        <w:t xml:space="preserve">is a string-typed field at the platform interface.</w:t>
      </w:r>
    </w:p>
    <w:p>
      <w:pPr>
        <w:pStyle w:val="BodyText"/>
      </w:pPr>
      <w:r>
        <w:t xml:space="preserve">The case study illustrates four architectural properties of the system, which together constitute the substantive contribution of the present paper.</w:t>
      </w:r>
    </w:p>
    <w:p>
      <w:pPr>
        <w:numPr>
          <w:ilvl w:val="0"/>
          <w:numId w:val="1002"/>
        </w:numPr>
      </w:pPr>
      <w:r>
        <w:rPr>
          <w:i/>
          <w:iCs/>
        </w:rPr>
        <w:t xml:space="preserve">The agent provides only per-worker logic.</w:t>
      </w:r>
      <w:r>
        <w:t xml:space="preserve"> </w:t>
      </w:r>
      <w:r>
        <w:t xml:space="preserve">Fan-out across 20 workers, the barrier between layers, and the propagation of layer 1’s aggregated output to layer 2 (via the agent passing layer 1’s</w:t>
      </w:r>
      <w:r>
        <w:t xml:space="preserve"> </w:t>
      </w:r>
      <w:r>
        <w:rPr>
          <w:rStyle w:val="VerbatimChar"/>
        </w:rPr>
        <w:t xml:space="preserve">layerId</w:t>
      </w:r>
      <w:r>
        <w:t xml:space="preserve"> </w:t>
      </w:r>
      <w:r>
        <w:t xml:space="preserve">as</w:t>
      </w:r>
      <w:r>
        <w:t xml:space="preserve"> </w:t>
      </w:r>
      <w:r>
        <w:rPr>
          <w:rStyle w:val="VerbatimChar"/>
        </w:rPr>
        <w:t xml:space="preserve">previousLayerId</w:t>
      </w:r>
      <w:r>
        <w:t xml:space="preserve">) are all platform concerns invisible to the agent.</w:t>
      </w:r>
    </w:p>
    <w:p>
      <w:pPr>
        <w:numPr>
          <w:ilvl w:val="0"/>
          <w:numId w:val="1002"/>
        </w:numPr>
      </w:pPr>
      <w:r>
        <w:rPr>
          <w:i/>
          <w:iCs/>
        </w:rPr>
        <w:t xml:space="preserve">Aggregation reuses the parallel primitive.</w:t>
      </w:r>
      <w:r>
        <w:t xml:space="preserve"> </w:t>
      </w:r>
      <w:r>
        <w:t xml:space="preserve">The reducer in layer 2 is a</w:t>
      </w:r>
      <w:r>
        <w:t xml:space="preserve"> </w:t>
      </w:r>
      <w:r>
        <w:rPr>
          <w:rStyle w:val="VerbatimChar"/>
        </w:rPr>
        <w:t xml:space="preserve">run_layer</w:t>
      </w:r>
      <w:r>
        <w:t xml:space="preserve"> </w:t>
      </w:r>
      <w:r>
        <w:t xml:space="preserve">invocation with</w:t>
      </w:r>
      <w:r>
        <w:t xml:space="preserve"> </w:t>
      </w:r>
      <w:r>
        <w:rPr>
          <w:rStyle w:val="VerbatimChar"/>
        </w:rPr>
        <w:t xml:space="preserve">parallelism = 1</w:t>
      </w:r>
      <w:r>
        <w:t xml:space="preserve">. The protocol does not distinguish a</w:t>
      </w:r>
      <w:r>
        <w:t xml:space="preserve"> </w:t>
      </w:r>
      <w:r>
        <w:t xml:space="preserve">“map”</w:t>
      </w:r>
      <w:r>
        <w:t xml:space="preserve"> </w:t>
      </w:r>
      <w:r>
        <w:t xml:space="preserve">phase from a</w:t>
      </w:r>
      <w:r>
        <w:t xml:space="preserve"> </w:t>
      </w:r>
      <w:r>
        <w:t xml:space="preserve">“reduce”</w:t>
      </w:r>
      <w:r>
        <w:t xml:space="preserve"> </w:t>
      </w:r>
      <w:r>
        <w:t xml:space="preserve">phase;</w:t>
      </w:r>
      <w:r>
        <w:t xml:space="preserve"> </w:t>
      </w:r>
      <w:r>
        <w:rPr>
          <w:rStyle w:val="VerbatimChar"/>
        </w:rPr>
        <w:t xml:space="preserve">parallelism</w:t>
      </w:r>
      <w:r>
        <w:t xml:space="preserve"> </w:t>
      </w:r>
      <w:r>
        <w:t xml:space="preserve">is a numeric parameter rather than a semantic mode.</w:t>
      </w:r>
    </w:p>
    <w:p>
      <w:pPr>
        <w:numPr>
          <w:ilvl w:val="0"/>
          <w:numId w:val="1002"/>
        </w:numPr>
      </w:pPr>
      <w:r>
        <w:rPr>
          <w:i/>
          <w:iCs/>
        </w:rPr>
        <w:t xml:space="preserve">Recoverable failure preserves session state.</w:t>
      </w:r>
      <w:r>
        <w:t xml:space="preserve"> </w:t>
      </w:r>
      <w:r>
        <w:t xml:space="preserve">If the first compilation attempt is rejected — a realistic occurrence given the difficulty LLMs encounter with C# numeric generics — the agent invokes</w:t>
      </w:r>
      <w:r>
        <w:t xml:space="preserve"> </w:t>
      </w:r>
      <w:r>
        <w:rPr>
          <w:rStyle w:val="VerbatimChar"/>
        </w:rPr>
        <w:t xml:space="preserve">create_session</w:t>
      </w:r>
      <w:r>
        <w:t xml:space="preserve"> </w:t>
      </w:r>
      <w:r>
        <w:t xml:space="preserve">again with corrected source. The artefacts of the failed compilation are discarded; layer 1 has not yet been executed and no prior work is lost. Should the failure occur during layer 2 instead, the agent retries</w:t>
      </w:r>
      <w:r>
        <w:t xml:space="preserve"> </w:t>
      </w:r>
      <w:r>
        <w:rPr>
          <w:rStyle w:val="VerbatimChar"/>
        </w:rPr>
        <w:t xml:space="preserve">run_layer</w:t>
      </w:r>
      <w:r>
        <w:t xml:space="preserve"> </w:t>
      </w:r>
      <w:r>
        <w:t xml:space="preserve">with the same</w:t>
      </w:r>
      <w:r>
        <w:t xml:space="preserve"> </w:t>
      </w:r>
      <w:r>
        <w:rPr>
          <w:rStyle w:val="VerbatimChar"/>
        </w:rPr>
        <w:t xml:space="preserve">previousLayerId</w:t>
      </w:r>
      <w:r>
        <w:t xml:space="preserve"> </w:t>
      </w:r>
      <w:r>
        <w:t xml:space="preserve">referencing the still-stored layer 1 result, avoiding re-execution of the sampling step.</w:t>
      </w:r>
    </w:p>
    <w:p>
      <w:pPr>
        <w:numPr>
          <w:ilvl w:val="0"/>
          <w:numId w:val="1002"/>
        </w:numPr>
      </w:pPr>
      <w:r>
        <w:rPr>
          <w:i/>
          <w:iCs/>
        </w:rPr>
        <w:t xml:space="preserve">Dataset distribution decouples from worker count.</w:t>
      </w:r>
      <w:r>
        <w:t xml:space="preserve"> </w:t>
      </w:r>
      <w:r>
        <w:t xml:space="preserve">In an extension where</w:t>
      </w:r>
      <w:r>
        <w:t xml:space="preserve"> </w:t>
      </w:r>
      <m:oMath>
        <m:r>
          <m:rPr>
            <m:sty m:val="p"/>
          </m:rPr>
          <m:t>Σ</m:t>
        </m:r>
      </m:oMath>
      <w:r>
        <w:t xml:space="preserve"> </w:t>
      </w:r>
      <w:r>
        <w:t xml:space="preserve">is loaded from a multi-megabyte file rather than transmitted as</w:t>
      </w:r>
      <w:r>
        <w:t xml:space="preserve"> </w:t>
      </w:r>
      <w:r>
        <w:rPr>
          <w:rStyle w:val="VerbatimChar"/>
        </w:rPr>
        <w:t xml:space="preserve">customData</w:t>
      </w:r>
      <w:r>
        <w:t xml:space="preserve">, the agent provides a</w:t>
      </w:r>
      <w:r>
        <w:t xml:space="preserve"> </w:t>
      </w:r>
      <w:r>
        <w:rPr>
          <w:rStyle w:val="VerbatimChar"/>
        </w:rPr>
        <w:t xml:space="preserve">datasetUrl</w:t>
      </w:r>
      <w:r>
        <w:t xml:space="preserve"> </w:t>
      </w:r>
      <w:r>
        <w:t xml:space="preserve">argument on the first</w:t>
      </w:r>
      <w:r>
        <w:t xml:space="preserve"> </w:t>
      </w:r>
      <w:r>
        <w:rPr>
          <w:rStyle w:val="VerbatimChar"/>
        </w:rPr>
        <w:t xml:space="preserve">run_layer</w:t>
      </w:r>
      <w:r>
        <w:t xml:space="preserve"> </w:t>
      </w:r>
      <w:r>
        <w:t xml:space="preserve">call. Subsequent layers referencing the same URL incur no additional transport cost regardless of the number of workers.</w:t>
      </w:r>
    </w:p>
    <w:p>
      <w:pPr>
        <w:pStyle w:val="FirstParagraph"/>
      </w:pPr>
      <w:r>
        <w:t xml:space="preserve">The case study is not a benchmark and does not assert any claim about wall-clock duration or solution quality. Its purpose is to ground the architectural description in concrete agent behaviour and to demonstrate that the synchronous coding paradigm is preserved end-to-end while parallel execution is delivered transparently beneath it.</w:t>
      </w:r>
    </w:p>
    <w:p>
      <w:pPr>
        <w:pStyle w:val="BodyText"/>
      </w:pPr>
      <w:r>
        <w:rPr>
          <w:b/>
          <w:bCs/>
        </w:rPr>
        <w:t xml:space="preserve">Conclusions and further research.</w:t>
      </w:r>
    </w:p>
    <w:p>
      <w:pPr>
        <w:pStyle w:val="BodyText"/>
      </w:pPr>
      <w:r>
        <w:t xml:space="preserve">This paper presented PARCS-Agent, an architectural pattern in which a Model Context Protocol server provides the interface between a language-model agent and a Kubernetes-based PARCS distributed computing cluster. The contribution is positioned at three complementary levels. At the architectural level, a session–layer–worker hierarchy decouples the agent’s reasoning steps from cluster orchestration. At the protocol level, four MCP tools — capability discovery, session compilation, blocking layer execution, and session enumeration — align with the agent’s step-wise decomposition without imposing distributed-computing concepts on the agent’s prompt. At the methodological level, runtime compilation of agent-supplied per-worker logic preserves the synchronous coding paradigm at the agent’s surface while delivering parallel execution beneath it, thus circumventing the documented difficulty LLMs encounter when generating parallel code directly.</w:t>
      </w:r>
    </w:p>
    <w:p>
      <w:pPr>
        <w:pStyle w:val="BodyText"/>
      </w:pPr>
      <w:r>
        <w:t xml:space="preserve">Three design decisions from this work are worth conserving within similar systems. First, the treatment of MCP tool descriptions as load-bearing prompt content reduces the rate of malformed agent calls. Second, the addressing of layer results by identifier rather than by value — wherein the agent references prior outputs through</w:t>
      </w:r>
      <w:r>
        <w:t xml:space="preserve"> </w:t>
      </w:r>
      <w:r>
        <w:rPr>
          <w:rStyle w:val="VerbatimChar"/>
        </w:rPr>
        <w:t xml:space="preserve">previousLayerId</w:t>
      </w:r>
      <w:r>
        <w:t xml:space="preserve"> </w:t>
      </w:r>
      <w:r>
        <w:t xml:space="preserve">while the server retrieves the stored payload internally — bounds the agent’s reasoning trace independently of result size and removes a class of state-management concerns from the protocol surface. Third, the distribution of bulk inputs through a content-addressed shared-storage side channel bounds the protocol payload independently of dataset volume and worker count.</w:t>
      </w:r>
    </w:p>
    <w:p>
      <w:pPr>
        <w:pStyle w:val="BodyText"/>
      </w:pPr>
      <w:r>
        <w:t xml:space="preserve">Several directions remain open for further investigation. The most immediate is</w:t>
      </w:r>
      <w:r>
        <w:t xml:space="preserve"> </w:t>
      </w:r>
      <w:r>
        <w:rPr>
          <w:i/>
          <w:iCs/>
        </w:rPr>
        <w:t xml:space="preserve">quantitative evaluation</w:t>
      </w:r>
      <w:r>
        <w:t xml:space="preserve">: a benchmark of compute-bound agent tasks measuring wall-clock duration, solution quality, token consumption, and operational cost relative to a single-threaded sandbox baseline. A companion harness has been developed for this purpose and is reserved for a separate publication.</w:t>
      </w:r>
      <w:r>
        <w:t xml:space="preserve"> </w:t>
      </w:r>
      <w:r>
        <w:rPr>
          <w:i/>
          <w:iCs/>
        </w:rPr>
        <w:t xml:space="preserve">Multi-language</w:t>
      </w:r>
      <w:r>
        <w:rPr>
          <w:i/>
          <w:iCs/>
        </w:rPr>
        <w:t xml:space="preserve"> </w:t>
      </w:r>
      <w:r>
        <w:rPr>
          <w:rStyle w:val="VerbatimChar"/>
          <w:i/>
          <w:iCs/>
        </w:rPr>
        <w:t xml:space="preserve">IAgentComputation</w:t>
      </w:r>
      <w:r>
        <w:rPr>
          <w:i/>
          <w:iCs/>
        </w:rPr>
        <w:t xml:space="preserve"> </w:t>
      </w:r>
      <w:r>
        <w:rPr>
          <w:i/>
          <w:iCs/>
        </w:rPr>
        <w:t xml:space="preserve">support</w:t>
      </w:r>
      <w:r>
        <w:t xml:space="preserve"> </w:t>
      </w:r>
      <w:r>
        <w:t xml:space="preserve">(Python, F#) would lower the entry barrier for agents whose pre-training distribution emphasises languages other than C#. A</w:t>
      </w:r>
      <w:r>
        <w:t xml:space="preserve"> </w:t>
      </w:r>
      <w:r>
        <w:rPr>
          <w:i/>
          <w:iCs/>
        </w:rPr>
        <w:t xml:space="preserve">GPU-backed daemon pool</w:t>
      </w:r>
      <w:r>
        <w:t xml:space="preserve"> </w:t>
      </w:r>
      <w:r>
        <w:t xml:space="preserve">would extend the architectural pattern to neural-network training and inference workloads. A</w:t>
      </w:r>
      <w:r>
        <w:t xml:space="preserve"> </w:t>
      </w:r>
      <w:r>
        <w:rPr>
          <w:i/>
          <w:iCs/>
        </w:rPr>
        <w:t xml:space="preserve">cost-aware scheduling</w:t>
      </w:r>
      <w:r>
        <w:t xml:space="preserve"> </w:t>
      </w:r>
      <w:r>
        <w:t xml:space="preserve">component would enable cloud deployments to balance throughput and operational expenditure without involving the agent in operational concerns. A</w:t>
      </w:r>
      <w:r>
        <w:t xml:space="preserve"> </w:t>
      </w:r>
      <w:r>
        <w:rPr>
          <w:i/>
          <w:iCs/>
        </w:rPr>
        <w:t xml:space="preserve">formal security model</w:t>
      </w:r>
      <w:r>
        <w:t xml:space="preserve"> </w:t>
      </w:r>
      <w:r>
        <w:t xml:space="preserve">would be required to address the multi-tenant trust boundary characteristic of any production deployment. The protocol itself appears stable; future development is anticipated to extend the runtime rather than to modify the agent-facing interface.</w:t>
      </w:r>
    </w:p>
    <w:p>
      <w:pPr>
        <w:pStyle w:val="BodyText"/>
      </w:pPr>
      <w:r>
        <w:rPr>
          <w:b/>
          <w:bCs/>
          <w:lang w:val="uk"/>
        </w:rPr>
        <w:t xml:space="preserve">Список бібліографічного опису</w:t>
      </w:r>
    </w:p>
    <w:p>
      <w:pPr>
        <w:numPr>
          <w:ilvl w:val="0"/>
          <w:numId w:val="1003"/>
        </w:numPr>
      </w:pPr>
      <w:r>
        <w:t xml:space="preserve">Anthropic.</w:t>
      </w:r>
      <w:r>
        <w:t xml:space="preserve"> </w:t>
      </w:r>
      <w:r>
        <w:t xml:space="preserve">Model Context Protocol.</w:t>
      </w:r>
      <w:r>
        <w:t xml:space="preserve"> </w:t>
      </w:r>
      <w:r>
        <w:rPr>
          <w:i/>
          <w:iCs/>
        </w:rPr>
        <w:t xml:space="preserve">modelcontextprotocol.io</w:t>
      </w:r>
      <w:r>
        <w:t xml:space="preserve">.</w:t>
      </w:r>
      <w:r>
        <w:t xml:space="preserve"> </w:t>
      </w:r>
      <w:r>
        <w:t xml:space="preserve">URL:</w:t>
      </w:r>
      <w:r>
        <w:t xml:space="preserve"> </w:t>
      </w:r>
      <w:hyperlink r:id="rId13">
        <w:r>
          <w:rPr>
            <w:rStyle w:val="Hyperlink"/>
          </w:rPr>
          <w:t xml:space="preserve">https://modelcontextprotocol.io</w:t>
        </w:r>
      </w:hyperlink>
      <w:r>
        <w:t xml:space="preserve"> </w:t>
      </w:r>
      <w:r>
        <w:t xml:space="preserve">(дата звернення: 01.05.2026).</w:t>
      </w:r>
    </w:p>
    <w:p>
      <w:pPr>
        <w:numPr>
          <w:ilvl w:val="0"/>
          <w:numId w:val="1003"/>
        </w:numPr>
      </w:pPr>
      <w:r>
        <w:t xml:space="preserve">Anisimov A. V., Derevianchenko O. V., Kuliabko P. P., Fedorus O. M.</w:t>
      </w:r>
      <w:r>
        <w:t xml:space="preserve"> </w:t>
      </w:r>
      <w:r>
        <w:t xml:space="preserve">Programming System PARCS.</w:t>
      </w:r>
      <w:r>
        <w:t xml:space="preserve"> </w:t>
      </w:r>
      <w:r>
        <w:rPr>
          <w:i/>
          <w:iCs/>
        </w:rPr>
        <w:t xml:space="preserve">Journal of Computer and Communications</w:t>
      </w:r>
      <w:r>
        <w:t xml:space="preserve">.</w:t>
      </w:r>
      <w:r>
        <w:t xml:space="preserve"> </w:t>
      </w:r>
      <w:r>
        <w:t xml:space="preserve">2017. Vol. 5, No. 9. С. 129–139.</w:t>
      </w:r>
      <w:r>
        <w:t xml:space="preserve"> </w:t>
      </w:r>
      <w:r>
        <w:t xml:space="preserve">DOI:</w:t>
      </w:r>
      <w:r>
        <w:t xml:space="preserve"> </w:t>
      </w:r>
      <w:hyperlink r:id="rId14">
        <w:r>
          <w:rPr>
            <w:rStyle w:val="Hyperlink"/>
          </w:rPr>
          <w:t xml:space="preserve">https://doi.org/10.4236/jcc.2017.59009</w:t>
        </w:r>
      </w:hyperlink>
      <w:r>
        <w:t xml:space="preserve">.</w:t>
      </w:r>
    </w:p>
    <w:p>
      <w:pPr>
        <w:numPr>
          <w:ilvl w:val="0"/>
          <w:numId w:val="1003"/>
        </w:numPr>
      </w:pPr>
      <w:r>
        <w:t xml:space="preserve">Bohusevych O.</w:t>
      </w:r>
      <w:r>
        <w:t xml:space="preserve"> </w:t>
      </w:r>
      <w:r>
        <w:t xml:space="preserve">PARCS — A .NET-Based Distributed Computing Platform on Kubernetes.</w:t>
      </w:r>
      <w:r>
        <w:t xml:space="preserve"> </w:t>
      </w:r>
      <w:r>
        <w:t xml:space="preserve">GitHub. 2026.</w:t>
      </w:r>
      <w:r>
        <w:t xml:space="preserve"> </w:t>
      </w:r>
      <w:r>
        <w:t xml:space="preserve">URL:</w:t>
      </w:r>
      <w:r>
        <w:t xml:space="preserve"> </w:t>
      </w:r>
      <w:hyperlink r:id="rId15">
        <w:r>
          <w:rPr>
            <w:rStyle w:val="Hyperlink"/>
          </w:rPr>
          <w:t xml:space="preserve">https://github.com/alexeybogusevich/parcs8</w:t>
        </w:r>
      </w:hyperlink>
      <w:r>
        <w:t xml:space="preserve"> </w:t>
      </w:r>
      <w:r>
        <w:t xml:space="preserve">(дата звернення: 01.05.2026).</w:t>
      </w:r>
    </w:p>
    <w:p>
      <w:pPr>
        <w:numPr>
          <w:ilvl w:val="0"/>
          <w:numId w:val="1003"/>
        </w:numPr>
      </w:pPr>
      <w:r>
        <w:t xml:space="preserve">Bohusevych O., Derevianchenko O.</w:t>
      </w:r>
      <w:r>
        <w:t xml:space="preserve"> </w:t>
      </w:r>
      <w:r>
        <w:t xml:space="preserve">Building Highly Scalable Parallel Compute Systems with PARCS, Kubernetes and KEDA.</w:t>
      </w:r>
      <w:r>
        <w:t xml:space="preserve"> </w:t>
      </w:r>
      <w:r>
        <w:rPr>
          <w:i/>
          <w:iCs/>
        </w:rPr>
        <w:t xml:space="preserve">Bulletin of Taras Shevchenko National University of Kyiv. Physical and Mathematical Sciences</w:t>
      </w:r>
      <w:r>
        <w:t xml:space="preserve">.</w:t>
      </w:r>
      <w:r>
        <w:t xml:space="preserve"> </w:t>
      </w:r>
      <w:r>
        <w:t xml:space="preserve">2026.</w:t>
      </w:r>
    </w:p>
    <w:p>
      <w:pPr>
        <w:numPr>
          <w:ilvl w:val="0"/>
          <w:numId w:val="1003"/>
        </w:numPr>
      </w:pPr>
      <w:r>
        <w:t xml:space="preserve">Chaturvedi A., Nichols D., Singh S., Bhatele A.</w:t>
      </w:r>
      <w:r>
        <w:t xml:space="preserve"> </w:t>
      </w:r>
      <w:r>
        <w:t xml:space="preserve">HPC-Coder-V2: Studying Code LLMs Across Low-Resource Parallel Languages.</w:t>
      </w:r>
      <w:r>
        <w:t xml:space="preserve"> </w:t>
      </w:r>
      <w:r>
        <w:t xml:space="preserve">arXiv:2412.15178. 2024.</w:t>
      </w:r>
      <w:r>
        <w:t xml:space="preserve"> </w:t>
      </w:r>
      <w:r>
        <w:t xml:space="preserve">URL:</w:t>
      </w:r>
      <w:r>
        <w:t xml:space="preserve"> </w:t>
      </w:r>
      <w:hyperlink r:id="rId16">
        <w:r>
          <w:rPr>
            <w:rStyle w:val="Hyperlink"/>
          </w:rPr>
          <w:t xml:space="preserve">https://arxiv.org/abs/2412.15178</w:t>
        </w:r>
      </w:hyperlink>
      <w:r>
        <w:t xml:space="preserve">.</w:t>
      </w:r>
    </w:p>
    <w:p>
      <w:pPr>
        <w:numPr>
          <w:ilvl w:val="0"/>
          <w:numId w:val="1003"/>
        </w:numPr>
      </w:pPr>
      <w:r>
        <w:t xml:space="preserve">Hasan M. M., Li H., Rajbahadur G. K., Adams B., Hassan A. E.</w:t>
      </w:r>
      <w:r>
        <w:t xml:space="preserve"> </w:t>
      </w:r>
      <w:r>
        <w:t xml:space="preserve">Model Context Protocol (MCP) Tool Descriptions Are Smelly!</w:t>
      </w:r>
      <w:r>
        <w:t xml:space="preserve"> </w:t>
      </w:r>
      <w:r>
        <w:t xml:space="preserve">Towards Improving AI Agent Efficiency with Augmented MCP Tool Descriptions.</w:t>
      </w:r>
      <w:r>
        <w:t xml:space="preserve"> </w:t>
      </w:r>
      <w:r>
        <w:t xml:space="preserve">arXiv:2602.14878. 2026.</w:t>
      </w:r>
      <w:r>
        <w:t xml:space="preserve"> </w:t>
      </w:r>
      <w:r>
        <w:t xml:space="preserve">URL:</w:t>
      </w:r>
      <w:r>
        <w:t xml:space="preserve"> </w:t>
      </w:r>
      <w:hyperlink r:id="rId17">
        <w:r>
          <w:rPr>
            <w:rStyle w:val="Hyperlink"/>
          </w:rPr>
          <w:t xml:space="preserve">https://arxiv.org/abs/2602.14878</w:t>
        </w:r>
      </w:hyperlink>
      <w:r>
        <w:t xml:space="preserve">.</w:t>
      </w:r>
    </w:p>
    <w:p>
      <w:pPr>
        <w:numPr>
          <w:ilvl w:val="0"/>
          <w:numId w:val="1003"/>
        </w:numPr>
      </w:pPr>
      <w:r>
        <w:t xml:space="preserve">Hou X., Zhao Y., Wang S., Wang H.</w:t>
      </w:r>
      <w:r>
        <w:t xml:space="preserve"> </w:t>
      </w:r>
      <w:r>
        <w:t xml:space="preserve">Model Context Protocol (MCP): Landscape, Security Threats, and Future Research Directions.</w:t>
      </w:r>
      <w:r>
        <w:t xml:space="preserve"> </w:t>
      </w:r>
      <w:r>
        <w:t xml:space="preserve">arXiv:2503.23278. 2025.</w:t>
      </w:r>
      <w:r>
        <w:t xml:space="preserve"> </w:t>
      </w:r>
      <w:r>
        <w:t xml:space="preserve">URL:</w:t>
      </w:r>
      <w:r>
        <w:t xml:space="preserve"> </w:t>
      </w:r>
      <w:hyperlink r:id="rId18">
        <w:r>
          <w:rPr>
            <w:rStyle w:val="Hyperlink"/>
          </w:rPr>
          <w:t xml:space="preserve">https://arxiv.org/abs/2503.23278</w:t>
        </w:r>
      </w:hyperlink>
      <w:r>
        <w:t xml:space="preserve">.</w:t>
      </w:r>
    </w:p>
    <w:p>
      <w:pPr>
        <w:numPr>
          <w:ilvl w:val="0"/>
          <w:numId w:val="1003"/>
        </w:numPr>
      </w:pPr>
      <w:r>
        <w:t xml:space="preserve">Kim S., Moon S., Tabrizi R., Lee N., Mahoney M. W., Keutzer K., Gholami A.</w:t>
      </w:r>
      <w:r>
        <w:t xml:space="preserve"> </w:t>
      </w:r>
      <w:r>
        <w:t xml:space="preserve">An LLM Compiler for Parallel Function Calling.</w:t>
      </w:r>
      <w:r>
        <w:t xml:space="preserve"> </w:t>
      </w:r>
      <w:r>
        <w:rPr>
          <w:i/>
          <w:iCs/>
        </w:rPr>
        <w:t xml:space="preserve">Proc. 41st International Conference on Machine Learning (ICML 2024)</w:t>
      </w:r>
      <w:r>
        <w:t xml:space="preserve">.</w:t>
      </w:r>
      <w:r>
        <w:t xml:space="preserve"> </w:t>
      </w:r>
      <w:r>
        <w:t xml:space="preserve">PMLR, 2024.</w:t>
      </w:r>
      <w:r>
        <w:t xml:space="preserve"> </w:t>
      </w:r>
      <w:r>
        <w:t xml:space="preserve">С. 24370–24391.</w:t>
      </w:r>
    </w:p>
    <w:p>
      <w:pPr>
        <w:numPr>
          <w:ilvl w:val="0"/>
          <w:numId w:val="1003"/>
        </w:numPr>
      </w:pPr>
      <w:r>
        <w:t xml:space="preserve">Ma Y., Gou Z., Hao J., Xu R., Wang S., Pan L., Yang Y., Cao Y., Sun A.</w:t>
      </w:r>
      <w:r>
        <w:t xml:space="preserve"> </w:t>
      </w:r>
      <w:r>
        <w:t xml:space="preserve">SciAgent: Tool-Augmented Language Models for Scientific Reasoning.</w:t>
      </w:r>
      <w:r>
        <w:t xml:space="preserve"> </w:t>
      </w:r>
      <w:r>
        <w:rPr>
          <w:i/>
          <w:iCs/>
        </w:rPr>
        <w:t xml:space="preserve">Proc. 2024 Conference on Empirical Methods in Natural Language Processing (EMNLP 2024)</w:t>
      </w:r>
      <w:r>
        <w:t xml:space="preserve">.</w:t>
      </w:r>
      <w:r>
        <w:t xml:space="preserve"> </w:t>
      </w:r>
      <w:r>
        <w:t xml:space="preserve">Association for Computational Linguistics, 2024.</w:t>
      </w:r>
      <w:r>
        <w:t xml:space="preserve"> </w:t>
      </w:r>
      <w:r>
        <w:t xml:space="preserve">С. 15701–15736.</w:t>
      </w:r>
    </w:p>
    <w:p>
      <w:pPr>
        <w:numPr>
          <w:ilvl w:val="0"/>
          <w:numId w:val="1003"/>
        </w:numPr>
      </w:pPr>
      <w:r>
        <w:t xml:space="preserve">Mialon G., Dessì R., Lomeli M., Nalmpantis C., Pasunuru R.,</w:t>
      </w:r>
      <w:r>
        <w:t xml:space="preserve"> </w:t>
      </w:r>
      <w:r>
        <w:t xml:space="preserve">Raileanu R. та ін.</w:t>
      </w:r>
      <w:r>
        <w:t xml:space="preserve"> </w:t>
      </w:r>
      <w:r>
        <w:t xml:space="preserve">Augmented Language Models: A Survey.</w:t>
      </w:r>
      <w:r>
        <w:t xml:space="preserve"> </w:t>
      </w:r>
      <w:r>
        <w:rPr>
          <w:i/>
          <w:iCs/>
        </w:rPr>
        <w:t xml:space="preserve">Transactions on Machine Learning Research</w:t>
      </w:r>
      <w:r>
        <w:t xml:space="preserve">. 2023.</w:t>
      </w:r>
    </w:p>
    <w:p>
      <w:pPr>
        <w:numPr>
          <w:ilvl w:val="0"/>
          <w:numId w:val="1003"/>
        </w:numPr>
      </w:pPr>
      <w:r>
        <w:t xml:space="preserve">Nader N., Diehl P., Brandt S., Kaiser H.</w:t>
      </w:r>
      <w:r>
        <w:t xml:space="preserve"> </w:t>
      </w:r>
      <w:r>
        <w:t xml:space="preserve">LLM &amp; HPC: Benchmarking DeepSeek’s Performance in High-Performance Computing Tasks.</w:t>
      </w:r>
      <w:r>
        <w:t xml:space="preserve"> </w:t>
      </w:r>
      <w:r>
        <w:rPr>
          <w:i/>
          <w:iCs/>
        </w:rPr>
        <w:t xml:space="preserve">Proc. ISC High Performance 2025</w:t>
      </w:r>
      <w:r>
        <w:t xml:space="preserve">.</w:t>
      </w:r>
      <w:r>
        <w:t xml:space="preserve"> </w:t>
      </w:r>
      <w:r>
        <w:t xml:space="preserve">Springer, 2025.</w:t>
      </w:r>
      <w:r>
        <w:t xml:space="preserve"> </w:t>
      </w:r>
      <w:r>
        <w:t xml:space="preserve">(Lecture Notes in Computer Science).</w:t>
      </w:r>
      <w:r>
        <w:t xml:space="preserve"> </w:t>
      </w:r>
      <w:r>
        <w:t xml:space="preserve">arXiv:2504.03665.</w:t>
      </w:r>
    </w:p>
    <w:p>
      <w:pPr>
        <w:numPr>
          <w:ilvl w:val="0"/>
          <w:numId w:val="1003"/>
        </w:numPr>
      </w:pPr>
      <w:r>
        <w:t xml:space="preserve">Nichols D., Davis J. H., Xie Z., Rajaram A., Bhatele A.</w:t>
      </w:r>
      <w:r>
        <w:t xml:space="preserve"> </w:t>
      </w:r>
      <w:r>
        <w:t xml:space="preserve">Can Large Language Models Write Parallel Code?</w:t>
      </w:r>
      <w:r>
        <w:t xml:space="preserve"> </w:t>
      </w:r>
      <w:r>
        <w:rPr>
          <w:i/>
          <w:iCs/>
        </w:rPr>
        <w:t xml:space="preserve">Proc. 33rd International Symposium on High-Performance Parallel and Distributed Computing (HPDC 2024)</w:t>
      </w:r>
      <w:r>
        <w:t xml:space="preserve">.</w:t>
      </w:r>
      <w:r>
        <w:t xml:space="preserve"> </w:t>
      </w:r>
      <w:r>
        <w:t xml:space="preserve">ACM, 2024.</w:t>
      </w:r>
      <w:r>
        <w:t xml:space="preserve"> </w:t>
      </w:r>
      <w:r>
        <w:t xml:space="preserve">С. 117–130.</w:t>
      </w:r>
      <w:r>
        <w:t xml:space="preserve"> </w:t>
      </w:r>
      <w:r>
        <w:t xml:space="preserve">URL:</w:t>
      </w:r>
      <w:r>
        <w:t xml:space="preserve"> </w:t>
      </w:r>
      <w:hyperlink r:id="rId19">
        <w:r>
          <w:rPr>
            <w:rStyle w:val="Hyperlink"/>
          </w:rPr>
          <w:t xml:space="preserve">https://doi.org/10.1145/3625549.3658689</w:t>
        </w:r>
      </w:hyperlink>
      <w:r>
        <w:t xml:space="preserve">.</w:t>
      </w:r>
    </w:p>
    <w:p>
      <w:pPr>
        <w:numPr>
          <w:ilvl w:val="0"/>
          <w:numId w:val="1003"/>
        </w:numPr>
      </w:pPr>
      <w:r>
        <w:t xml:space="preserve">Patil S. G., Zhang T., Wang X., Gonzalez J. E.</w:t>
      </w:r>
      <w:r>
        <w:t xml:space="preserve"> </w:t>
      </w:r>
      <w:r>
        <w:t xml:space="preserve">Gorilla: Large Language Model Connected with Massive APIs.</w:t>
      </w:r>
      <w:r>
        <w:t xml:space="preserve"> </w:t>
      </w:r>
      <w:r>
        <w:t xml:space="preserve">arXiv:2305.15334. 2023.</w:t>
      </w:r>
      <w:r>
        <w:t xml:space="preserve"> </w:t>
      </w:r>
      <w:r>
        <w:t xml:space="preserve">URL:</w:t>
      </w:r>
      <w:r>
        <w:t xml:space="preserve"> </w:t>
      </w:r>
      <w:hyperlink r:id="rId20">
        <w:r>
          <w:rPr>
            <w:rStyle w:val="Hyperlink"/>
          </w:rPr>
          <w:t xml:space="preserve">https://arxiv.org/abs/2305.15334</w:t>
        </w:r>
      </w:hyperlink>
      <w:r>
        <w:t xml:space="preserve">.</w:t>
      </w:r>
    </w:p>
    <w:p>
      <w:pPr>
        <w:numPr>
          <w:ilvl w:val="0"/>
          <w:numId w:val="1003"/>
        </w:numPr>
      </w:pPr>
      <w:r>
        <w:t xml:space="preserve">Qin Y., Liang S., Ye Y., Zhu K., Yan L., Lu Y. та ін.</w:t>
      </w:r>
      <w:r>
        <w:t xml:space="preserve"> </w:t>
      </w:r>
      <w:r>
        <w:t xml:space="preserve">ToolLLM: Facilitating Large Language Models to Master 16000+ Real-world APIs.</w:t>
      </w:r>
      <w:r>
        <w:t xml:space="preserve"> </w:t>
      </w:r>
      <w:r>
        <w:rPr>
          <w:i/>
          <w:iCs/>
        </w:rPr>
        <w:t xml:space="preserve">Proc. 12th International Conference on Learning Representations (ICLR 2024)</w:t>
      </w:r>
      <w:r>
        <w:t xml:space="preserve">.</w:t>
      </w:r>
      <w:r>
        <w:t xml:space="preserve"> </w:t>
      </w:r>
      <w:r>
        <w:t xml:space="preserve">OpenReview.net, 2024.</w:t>
      </w:r>
    </w:p>
    <w:p>
      <w:pPr>
        <w:numPr>
          <w:ilvl w:val="0"/>
          <w:numId w:val="1003"/>
        </w:numPr>
      </w:pPr>
      <w:r>
        <w:t xml:space="preserve">Schick T., Dwivedi-Yu J., Dessì R., Raileanu R., Lomeli M., Hambro E.,</w:t>
      </w:r>
      <w:r>
        <w:t xml:space="preserve"> </w:t>
      </w:r>
      <w:r>
        <w:t xml:space="preserve">Zettlemoyer L., Cancedda N., Scialom T.</w:t>
      </w:r>
      <w:r>
        <w:t xml:space="preserve"> </w:t>
      </w:r>
      <w:r>
        <w:t xml:space="preserve">Toolformer: Language Models Can Teach Themselves to Use Tools.</w:t>
      </w:r>
      <w:r>
        <w:t xml:space="preserve"> </w:t>
      </w:r>
      <w:r>
        <w:rPr>
          <w:i/>
          <w:iCs/>
        </w:rPr>
        <w:t xml:space="preserve">Advances in Neural Information Processing Systems 36 (NeurIPS 2023)</w:t>
      </w:r>
      <w:r>
        <w:t xml:space="preserve">.</w:t>
      </w:r>
      <w:r>
        <w:t xml:space="preserve"> </w:t>
      </w:r>
      <w:r>
        <w:t xml:space="preserve">Curran Associates, 2023.</w:t>
      </w:r>
    </w:p>
    <w:p>
      <w:pPr>
        <w:numPr>
          <w:ilvl w:val="0"/>
          <w:numId w:val="1003"/>
        </w:numPr>
      </w:pPr>
      <w:r>
        <w:t xml:space="preserve">Wang X., Chen Y., Yuan L., Zhang Y., Li Y., Peng H., Ji H.</w:t>
      </w:r>
      <w:r>
        <w:t xml:space="preserve"> </w:t>
      </w:r>
      <w:r>
        <w:t xml:space="preserve">Executable Code Actions Elicit Better LLM Agents.</w:t>
      </w:r>
      <w:r>
        <w:t xml:space="preserve"> </w:t>
      </w:r>
      <w:r>
        <w:rPr>
          <w:i/>
          <w:iCs/>
        </w:rPr>
        <w:t xml:space="preserve">Proc. 41st International Conference on Machine Learning (ICML 2024)</w:t>
      </w:r>
      <w:r>
        <w:t xml:space="preserve">.</w:t>
      </w:r>
      <w:r>
        <w:t xml:space="preserve"> </w:t>
      </w:r>
      <w:r>
        <w:t xml:space="preserve">PMLR, 2024.</w:t>
      </w:r>
      <w:r>
        <w:t xml:space="preserve"> </w:t>
      </w:r>
      <w:r>
        <w:t xml:space="preserve">С. 50208–50232.</w:t>
      </w:r>
    </w:p>
    <w:p>
      <w:pPr>
        <w:numPr>
          <w:ilvl w:val="0"/>
          <w:numId w:val="1003"/>
        </w:numPr>
      </w:pPr>
      <w:r>
        <w:t xml:space="preserve">Wei A., Nie A., Teixeira T. S. F. X., Yadav R., Lee W., Wang K., Aiken A.</w:t>
      </w:r>
      <w:r>
        <w:t xml:space="preserve"> </w:t>
      </w:r>
      <w:r>
        <w:t xml:space="preserve">Improving Parallel Program Performance with LLM Optimizers via Agent–System Interfaces.</w:t>
      </w:r>
      <w:r>
        <w:t xml:space="preserve"> </w:t>
      </w:r>
      <w:r>
        <w:rPr>
          <w:i/>
          <w:iCs/>
        </w:rPr>
        <w:t xml:space="preserve">Proc. 42nd International Conference on Machine Learning (ICML 2025)</w:t>
      </w:r>
      <w:r>
        <w:t xml:space="preserve">.</w:t>
      </w:r>
      <w:r>
        <w:t xml:space="preserve"> </w:t>
      </w:r>
      <w:r>
        <w:t xml:space="preserve">PMLR, 2025.</w:t>
      </w:r>
      <w:r>
        <w:t xml:space="preserve"> </w:t>
      </w:r>
      <w:r>
        <w:t xml:space="preserve">arXiv:2410.15625.</w:t>
      </w:r>
    </w:p>
    <w:p>
      <w:pPr>
        <w:numPr>
          <w:ilvl w:val="0"/>
          <w:numId w:val="1003"/>
        </w:numPr>
      </w:pPr>
      <w:r>
        <w:t xml:space="preserve">Yao S., Zhao J., Yu D., Du N., Shafran I., Narasimhan K., Cao Y.</w:t>
      </w:r>
      <w:r>
        <w:t xml:space="preserve"> </w:t>
      </w:r>
      <w:r>
        <w:t xml:space="preserve">ReAct: Synergizing Reasoning and Acting in Language Models.</w:t>
      </w:r>
      <w:r>
        <w:t xml:space="preserve"> </w:t>
      </w:r>
      <w:r>
        <w:rPr>
          <w:i/>
          <w:iCs/>
        </w:rPr>
        <w:t xml:space="preserve">Proc. 11th International Conference on Learning Representations (ICLR 2023)</w:t>
      </w:r>
      <w:r>
        <w:t xml:space="preserve">.</w:t>
      </w:r>
      <w:r>
        <w:t xml:space="preserve"> </w:t>
      </w:r>
      <w:r>
        <w:t xml:space="preserve">OpenReview.net, 2023.</w:t>
      </w:r>
    </w:p>
    <w:p>
      <w:pPr>
        <w:pStyle w:val="FirstParagraph"/>
      </w:pPr>
      <w:r>
        <w:rPr>
          <w:b/>
          <w:bCs/>
        </w:rPr>
        <w:t xml:space="preserve">References</w:t>
      </w:r>
    </w:p>
    <w:bookmarkStart w:id="39" w:name="refs"/>
    <w:bookmarkStart w:id="21" w:name="ref-anisimov2017parcs"/>
    <w:p>
      <w:pPr>
        <w:pStyle w:val="Bibliography"/>
      </w:pPr>
      <w:r>
        <w:t xml:space="preserve">Anisimov, Anatoly V., Oleksandr V. Derevianchenko, Pavlo P. Kuliabko, and Oleksandr M. Fedorus. 2017.</w:t>
      </w:r>
      <w:r>
        <w:t xml:space="preserve"> </w:t>
      </w:r>
      <w:r>
        <w:t xml:space="preserve">“Programming System</w:t>
      </w:r>
      <w:r>
        <w:t xml:space="preserve"> </w:t>
      </w:r>
      <w:r>
        <w:t xml:space="preserve">PARCS</w:t>
      </w:r>
      <w:r>
        <w:t xml:space="preserve">.”</w:t>
      </w:r>
      <w:r>
        <w:t xml:space="preserve"> </w:t>
      </w:r>
      <w:r>
        <w:rPr>
          <w:i/>
          <w:iCs/>
        </w:rPr>
        <w:t xml:space="preserve">Journal of Computer and Communications</w:t>
      </w:r>
      <w:r>
        <w:t xml:space="preserve"> </w:t>
      </w:r>
      <w:r>
        <w:t xml:space="preserve">5 (9): 129–39.</w:t>
      </w:r>
      <w:r>
        <w:t xml:space="preserve"> </w:t>
      </w:r>
      <w:hyperlink r:id="rId14">
        <w:r>
          <w:rPr>
            <w:rStyle w:val="Hyperlink"/>
          </w:rPr>
          <w:t xml:space="preserve">https://doi.org/10.4236/jcc.2017.59009</w:t>
        </w:r>
      </w:hyperlink>
      <w:r>
        <w:t xml:space="preserve">.</w:t>
      </w:r>
    </w:p>
    <w:bookmarkEnd w:id="21"/>
    <w:bookmarkStart w:id="22" w:name="ref-anthropic2024mcp"/>
    <w:p>
      <w:pPr>
        <w:pStyle w:val="Bibliography"/>
      </w:pPr>
      <w:r>
        <w:t xml:space="preserve">Anthropic. 2024.</w:t>
      </w:r>
      <w:r>
        <w:t xml:space="preserve"> </w:t>
      </w:r>
      <w:r>
        <w:rPr>
          <w:i/>
          <w:iCs/>
        </w:rPr>
        <w:t xml:space="preserve">Model Context Protocol</w:t>
      </w:r>
      <w:r>
        <w:t xml:space="preserve">.</w:t>
      </w:r>
      <w:r>
        <w:t xml:space="preserve"> </w:t>
      </w:r>
      <w:hyperlink r:id="rId13">
        <w:r>
          <w:rPr>
            <w:rStyle w:val="Hyperlink"/>
          </w:rPr>
          <w:t xml:space="preserve">Https://modelcontextprotocol.io</w:t>
        </w:r>
      </w:hyperlink>
      <w:r>
        <w:t xml:space="preserve">.</w:t>
      </w:r>
    </w:p>
    <w:bookmarkEnd w:id="22"/>
    <w:bookmarkStart w:id="23" w:name="ref-bohusevych2026parcs"/>
    <w:p>
      <w:pPr>
        <w:pStyle w:val="Bibliography"/>
      </w:pPr>
      <w:r>
        <w:t xml:space="preserve">Bohusevych, Oleksii. 2026.</w:t>
      </w:r>
      <w:r>
        <w:t xml:space="preserve"> </w:t>
      </w:r>
      <w:r>
        <w:rPr>
          <w:i/>
          <w:iCs/>
        </w:rPr>
        <w:t xml:space="preserve">PARCS</w:t>
      </w:r>
      <w:r>
        <w:rPr>
          <w:i/>
          <w:iCs/>
        </w:rPr>
        <w:t xml:space="preserve"> </w:t>
      </w:r>
      <w:r>
        <w:rPr>
          <w:i/>
          <w:iCs/>
        </w:rPr>
        <w:t xml:space="preserve">— a</w:t>
      </w:r>
      <w:r>
        <w:rPr>
          <w:i/>
          <w:iCs/>
        </w:rPr>
        <w:t xml:space="preserve"> </w:t>
      </w:r>
      <w:r>
        <w:rPr>
          <w:i/>
          <w:iCs/>
        </w:rPr>
        <w:t xml:space="preserve">.NET</w:t>
      </w:r>
      <w:r>
        <w:rPr>
          <w:i/>
          <w:iCs/>
        </w:rPr>
        <w:t xml:space="preserve">-Based Distributed Computing Platform on</w:t>
      </w:r>
      <w:r>
        <w:rPr>
          <w:i/>
          <w:iCs/>
        </w:rPr>
        <w:t xml:space="preserve"> </w:t>
      </w:r>
      <w:r>
        <w:rPr>
          <w:i/>
          <w:iCs/>
        </w:rPr>
        <w:t xml:space="preserve">Kubernetes</w:t>
      </w:r>
      <w:r>
        <w:t xml:space="preserve">. Source code repository,</w:t>
      </w:r>
      <w:r>
        <w:t xml:space="preserve"> </w:t>
      </w:r>
      <w:hyperlink r:id="rId15">
        <w:r>
          <w:rPr>
            <w:rStyle w:val="Hyperlink"/>
          </w:rPr>
          <w:t xml:space="preserve">https://github.com/alexeybogusevich/parcs8</w:t>
        </w:r>
      </w:hyperlink>
      <w:r>
        <w:t xml:space="preserve">.</w:t>
      </w:r>
    </w:p>
    <w:bookmarkEnd w:id="23"/>
    <w:bookmarkStart w:id="24" w:name="ref-bohusevych2024tsp"/>
    <w:p>
      <w:pPr>
        <w:pStyle w:val="Bibliography"/>
      </w:pPr>
      <w:r>
        <w:t xml:space="preserve">Bohusevych, Oleksii, and Oleksandr Derevianchenko. 2026.</w:t>
      </w:r>
      <w:r>
        <w:t xml:space="preserve"> </w:t>
      </w:r>
      <w:r>
        <w:t xml:space="preserve">“Building Highly Scalable Parallel Compute Systems with</w:t>
      </w:r>
      <w:r>
        <w:t xml:space="preserve"> </w:t>
      </w:r>
      <w:r>
        <w:t xml:space="preserve">PARCS</w:t>
      </w:r>
      <w:r>
        <w:t xml:space="preserve">,</w:t>
      </w:r>
      <w:r>
        <w:t xml:space="preserve"> </w:t>
      </w:r>
      <w:r>
        <w:t xml:space="preserve">Kubernetes</w:t>
      </w:r>
      <w:r>
        <w:t xml:space="preserve"> </w:t>
      </w:r>
      <w:r>
        <w:t xml:space="preserve">and</w:t>
      </w:r>
      <w:r>
        <w:t xml:space="preserve"> </w:t>
      </w:r>
      <w:r>
        <w:t xml:space="preserve">KEDA</w:t>
      </w:r>
      <w:r>
        <w:t xml:space="preserve">.”</w:t>
      </w:r>
      <w:r>
        <w:t xml:space="preserve"> </w:t>
      </w:r>
      <w:r>
        <w:rPr>
          <w:i/>
          <w:iCs/>
        </w:rPr>
        <w:t xml:space="preserve">Bulletin of Taras Shevchenko National University of</w:t>
      </w:r>
      <w:r>
        <w:rPr>
          <w:i/>
          <w:iCs/>
        </w:rPr>
        <w:t xml:space="preserve"> </w:t>
      </w:r>
      <w:r>
        <w:rPr>
          <w:i/>
          <w:iCs/>
        </w:rPr>
        <w:t xml:space="preserve">Kyiv</w:t>
      </w:r>
      <w:r>
        <w:rPr>
          <w:i/>
          <w:iCs/>
        </w:rPr>
        <w:t xml:space="preserve">. Physical and Mathematical Sciences</w:t>
      </w:r>
      <w:r>
        <w:t xml:space="preserve">.</w:t>
      </w:r>
    </w:p>
    <w:bookmarkEnd w:id="24"/>
    <w:bookmarkStart w:id="25" w:name="ref-nichols2024hpccoderv2"/>
    <w:p>
      <w:pPr>
        <w:pStyle w:val="Bibliography"/>
      </w:pPr>
      <w:r>
        <w:t xml:space="preserve">Chaturvedi, Aman, Daniel Nichols, Siddharth Singh, and Abhinav Bhatele. 2024.</w:t>
      </w:r>
      <w:r>
        <w:t xml:space="preserve"> </w:t>
      </w:r>
      <w:r>
        <w:t xml:space="preserve">“</w:t>
      </w:r>
      <w:r>
        <w:t xml:space="preserve">HPC-Coder-V2</w:t>
      </w:r>
      <w:r>
        <w:t xml:space="preserve">: Studying Code</w:t>
      </w:r>
      <w:r>
        <w:t xml:space="preserve"> </w:t>
      </w:r>
      <w:r>
        <w:t xml:space="preserve">LLMs</w:t>
      </w:r>
      <w:r>
        <w:t xml:space="preserve"> </w:t>
      </w:r>
      <w:r>
        <w:t xml:space="preserve">Across Low-Resource Parallel Languages.”</w:t>
      </w:r>
      <w:r>
        <w:t xml:space="preserve"> </w:t>
      </w:r>
      <w:r>
        <w:rPr>
          <w:i/>
          <w:iCs/>
        </w:rPr>
        <w:t xml:space="preserve">arXiv Preprint arXiv:2412.15178</w:t>
      </w:r>
      <w:r>
        <w:t xml:space="preserve">.</w:t>
      </w:r>
    </w:p>
    <w:bookmarkEnd w:id="25"/>
    <w:bookmarkStart w:id="26" w:name="ref-luo2025mcpsmelly"/>
    <w:p>
      <w:pPr>
        <w:pStyle w:val="Bibliography"/>
      </w:pPr>
      <w:r>
        <w:t xml:space="preserve">Hasan, Mohammed Mehedi, Hao Li, Gopi Krishnan Rajbahadur, Bram Adams, and Ahmed E. Hassan. 2026.</w:t>
      </w:r>
      <w:r>
        <w:t xml:space="preserve"> </w:t>
      </w:r>
      <w:r>
        <w:t xml:space="preserve">“Model Context Protocol (</w:t>
      </w:r>
      <w:r>
        <w:t xml:space="preserve">MCP</w:t>
      </w:r>
      <w:r>
        <w:t xml:space="preserve">) Tool Descriptions Are Smelly! Towards Improving</w:t>
      </w:r>
      <w:r>
        <w:t xml:space="preserve"> </w:t>
      </w:r>
      <w:r>
        <w:t xml:space="preserve">AI</w:t>
      </w:r>
      <w:r>
        <w:t xml:space="preserve"> </w:t>
      </w:r>
      <w:r>
        <w:t xml:space="preserve">Agent Efficiency with Augmented</w:t>
      </w:r>
      <w:r>
        <w:t xml:space="preserve"> </w:t>
      </w:r>
      <w:r>
        <w:t xml:space="preserve">MCP</w:t>
      </w:r>
      <w:r>
        <w:t xml:space="preserve"> </w:t>
      </w:r>
      <w:r>
        <w:t xml:space="preserve">Tool Descriptions.”</w:t>
      </w:r>
      <w:r>
        <w:t xml:space="preserve"> </w:t>
      </w:r>
      <w:r>
        <w:rPr>
          <w:i/>
          <w:iCs/>
        </w:rPr>
        <w:t xml:space="preserve">arXiv Preprint arXiv:2602.14878</w:t>
      </w:r>
      <w:r>
        <w:t xml:space="preserve">.</w:t>
      </w:r>
    </w:p>
    <w:bookmarkEnd w:id="26"/>
    <w:bookmarkStart w:id="27" w:name="ref-hou2025mcp"/>
    <w:p>
      <w:pPr>
        <w:pStyle w:val="Bibliography"/>
      </w:pPr>
      <w:r>
        <w:t xml:space="preserve">Hou, Xinyi, Yanjie Zhao, Shenao Wang, and Haoyu Wang. 2025.</w:t>
      </w:r>
      <w:r>
        <w:t xml:space="preserve"> </w:t>
      </w:r>
      <w:r>
        <w:t xml:space="preserve">“Model Context Protocol (</w:t>
      </w:r>
      <w:r>
        <w:t xml:space="preserve">MCP</w:t>
      </w:r>
      <w:r>
        <w:t xml:space="preserve">): Landscape, Security Threats, and Future Research Directions.”</w:t>
      </w:r>
      <w:r>
        <w:t xml:space="preserve"> </w:t>
      </w:r>
      <w:r>
        <w:rPr>
          <w:i/>
          <w:iCs/>
        </w:rPr>
        <w:t xml:space="preserve">arXiv Preprint arXiv:2503.23278</w:t>
      </w:r>
      <w:r>
        <w:t xml:space="preserve">.</w:t>
      </w:r>
    </w:p>
    <w:bookmarkEnd w:id="27"/>
    <w:bookmarkStart w:id="28" w:name="ref-kim2024llmcompiler"/>
    <w:p>
      <w:pPr>
        <w:pStyle w:val="Bibliography"/>
      </w:pPr>
      <w:r>
        <w:t xml:space="preserve">Kim, Sehoon, Suhong Moon, Ryan Tabrizi, et al. 2024.</w:t>
      </w:r>
      <w:r>
        <w:t xml:space="preserve"> </w:t>
      </w:r>
      <w:r>
        <w:t xml:space="preserve">“An</w:t>
      </w:r>
      <w:r>
        <w:t xml:space="preserve"> </w:t>
      </w:r>
      <w:r>
        <w:t xml:space="preserve">LLM</w:t>
      </w:r>
      <w:r>
        <w:t xml:space="preserve"> </w:t>
      </w:r>
      <w:r>
        <w:t xml:space="preserve">Compiler for Parallel Function Calling.”</w:t>
      </w:r>
      <w:r>
        <w:t xml:space="preserve"> </w:t>
      </w:r>
      <w:r>
        <w:rPr>
          <w:i/>
          <w:iCs/>
        </w:rPr>
        <w:t xml:space="preserve">Proc. 41st International Conference on Machine Learning (ICML 2024)</w:t>
      </w:r>
      <w:r>
        <w:t xml:space="preserve">, Proceedings of machine learning research, vol. 235: 24370–91.</w:t>
      </w:r>
    </w:p>
    <w:bookmarkEnd w:id="28"/>
    <w:bookmarkStart w:id="29" w:name="ref-ma2024sciagent"/>
    <w:p>
      <w:pPr>
        <w:pStyle w:val="Bibliography"/>
      </w:pPr>
      <w:r>
        <w:t xml:space="preserve">Ma, Yubo, Zhibin Gou, Junheng Hao, et al. 2024.</w:t>
      </w:r>
      <w:r>
        <w:t xml:space="preserve"> </w:t>
      </w:r>
      <w:r>
        <w:t xml:space="preserve">“</w:t>
      </w:r>
      <w:r>
        <w:t xml:space="preserve">SciAgent</w:t>
      </w:r>
      <w:r>
        <w:t xml:space="preserve">: Tool-Augmented Language Models for Scientific Reasoning.”</w:t>
      </w:r>
      <w:r>
        <w:t xml:space="preserve"> </w:t>
      </w:r>
      <w:r>
        <w:rPr>
          <w:i/>
          <w:iCs/>
        </w:rPr>
        <w:t xml:space="preserve">Proc. 2024 Conference on Empirical Methods in Natural Language Processing (EMNLP 2024)</w:t>
      </w:r>
      <w:r>
        <w:t xml:space="preserve">, 15701–36.</w:t>
      </w:r>
    </w:p>
    <w:bookmarkEnd w:id="29"/>
    <w:bookmarkStart w:id="30" w:name="ref-mialon2023augmented"/>
    <w:p>
      <w:pPr>
        <w:pStyle w:val="Bibliography"/>
      </w:pPr>
      <w:r>
        <w:t xml:space="preserve">Mialon, Grégoire, Roberto Dessì, Maria Lomeli, et al.</w:t>
      </w:r>
      <w:r>
        <w:t xml:space="preserve"> 2023.</w:t>
      </w:r>
      <w:r>
        <w:t xml:space="preserve"> </w:t>
      </w:r>
      <w:r>
        <w:t xml:space="preserve">“Augmented Language Models: A Survey.”</w:t>
      </w:r>
      <w:r>
        <w:t xml:space="preserve"> </w:t>
      </w:r>
      <w:r>
        <w:rPr>
          <w:i/>
          <w:iCs/>
        </w:rPr>
        <w:t xml:space="preserve">Transactions on Machine Learning Research</w:t>
      </w:r>
      <w:r>
        <w:t xml:space="preserve">.</w:t>
      </w:r>
    </w:p>
    <w:bookmarkEnd w:id="30"/>
    <w:bookmarkStart w:id="31" w:name="ref-xu2025llmhpc"/>
    <w:p>
      <w:pPr>
        <w:pStyle w:val="Bibliography"/>
      </w:pPr>
      <w:r>
        <w:t xml:space="preserve">Nader, Noujoud, Patrick Diehl, Steve Brandt, and Hartmut Kaiser. 2025.</w:t>
      </w:r>
      <w:r>
        <w:t xml:space="preserve"> </w:t>
      </w:r>
      <w:r>
        <w:t xml:space="preserve">“</w:t>
      </w:r>
      <w:r>
        <w:t xml:space="preserve">LLM</w:t>
      </w:r>
      <w:r>
        <w:t xml:space="preserve"> </w:t>
      </w:r>
      <w:r>
        <w:t xml:space="preserve">&amp;</w:t>
      </w:r>
      <w:r>
        <w:t xml:space="preserve"> </w:t>
      </w:r>
      <w:r>
        <w:t xml:space="preserve">HPC</w:t>
      </w:r>
      <w:r>
        <w:t xml:space="preserve">: Benchmarking</w:t>
      </w:r>
      <w:r>
        <w:t xml:space="preserve"> </w:t>
      </w:r>
      <w:r>
        <w:t xml:space="preserve">DeepSeek’s</w:t>
      </w:r>
      <w:r>
        <w:t xml:space="preserve"> </w:t>
      </w:r>
      <w:r>
        <w:t xml:space="preserve">Performance in High-Performance Computing Tasks.”</w:t>
      </w:r>
      <w:r>
        <w:t xml:space="preserve"> </w:t>
      </w:r>
      <w:r>
        <w:rPr>
          <w:i/>
          <w:iCs/>
        </w:rPr>
        <w:t xml:space="preserve">Proc. ISC High Performance 2025</w:t>
      </w:r>
      <w:r>
        <w:t xml:space="preserve">, Lecture notes in computer science, vol. 16091.</w:t>
      </w:r>
    </w:p>
    <w:bookmarkEnd w:id="31"/>
    <w:bookmarkStart w:id="32" w:name="ref-nichols2024pareval"/>
    <w:p>
      <w:pPr>
        <w:pStyle w:val="Bibliography"/>
      </w:pPr>
      <w:r>
        <w:t xml:space="preserve">Nichols, Daniel, Joshua H. Davis, Zhaojun Xie, Arjun Rajaram, and Abhinav Bhatele. 2024.</w:t>
      </w:r>
      <w:r>
        <w:t xml:space="preserve"> </w:t>
      </w:r>
      <w:r>
        <w:t xml:space="preserve">“Can Large Language Models Write Parallel Code?”</w:t>
      </w:r>
      <w:r>
        <w:t xml:space="preserve"> </w:t>
      </w:r>
      <w:r>
        <w:rPr>
          <w:i/>
          <w:iCs/>
        </w:rPr>
        <w:t xml:space="preserve">Proc. 33rd International Symposium on High-Performance Parallel and Distributed Computing (HPDC 2024)</w:t>
      </w:r>
      <w:r>
        <w:t xml:space="preserve">, 117–30.</w:t>
      </w:r>
      <w:r>
        <w:t xml:space="preserve"> </w:t>
      </w:r>
      <w:hyperlink r:id="rId19">
        <w:r>
          <w:rPr>
            <w:rStyle w:val="Hyperlink"/>
          </w:rPr>
          <w:t xml:space="preserve">https://doi.org/10.1145/3625549.3658689</w:t>
        </w:r>
      </w:hyperlink>
      <w:r>
        <w:t xml:space="preserve">.</w:t>
      </w:r>
    </w:p>
    <w:bookmarkEnd w:id="32"/>
    <w:bookmarkStart w:id="33" w:name="ref-patil2023gorilla"/>
    <w:p>
      <w:pPr>
        <w:pStyle w:val="Bibliography"/>
      </w:pPr>
      <w:r>
        <w:t xml:space="preserve">Patil, Shishir G., Tianjun Zhang, Xin Wang, and Joseph E. Gonzalez. 2023.</w:t>
      </w:r>
      <w:r>
        <w:t xml:space="preserve"> </w:t>
      </w:r>
      <w:r>
        <w:t xml:space="preserve">“Gorilla: Large Language Model Connected with Massive</w:t>
      </w:r>
      <w:r>
        <w:t xml:space="preserve"> </w:t>
      </w:r>
      <w:r>
        <w:t xml:space="preserve">APIs</w:t>
      </w:r>
      <w:r>
        <w:t xml:space="preserve">.”</w:t>
      </w:r>
      <w:r>
        <w:t xml:space="preserve"> </w:t>
      </w:r>
      <w:r>
        <w:rPr>
          <w:i/>
          <w:iCs/>
        </w:rPr>
        <w:t xml:space="preserve">arXiv Preprint arXiv:2305.15334</w:t>
      </w:r>
      <w:r>
        <w:t xml:space="preserve">.</w:t>
      </w:r>
    </w:p>
    <w:bookmarkEnd w:id="33"/>
    <w:bookmarkStart w:id="34" w:name="ref-qin2024toolllm"/>
    <w:p>
      <w:pPr>
        <w:pStyle w:val="Bibliography"/>
      </w:pPr>
      <w:r>
        <w:t xml:space="preserve">Qin, Yujia, Shihao Liang, Yining Ye, et al.</w:t>
      </w:r>
      <w:r>
        <w:t xml:space="preserve"> 2024.</w:t>
      </w:r>
      <w:r>
        <w:t xml:space="preserve"> </w:t>
      </w:r>
      <w:r>
        <w:t xml:space="preserve">“</w:t>
      </w:r>
      <w:r>
        <w:t xml:space="preserve">ToolLLM</w:t>
      </w:r>
      <w:r>
        <w:t xml:space="preserve">: Facilitating Large Language Models to Master 16000+ Real-World</w:t>
      </w:r>
      <w:r>
        <w:t xml:space="preserve"> </w:t>
      </w:r>
      <w:r>
        <w:t xml:space="preserve">APIs</w:t>
      </w:r>
      <w:r>
        <w:t xml:space="preserve">.”</w:t>
      </w:r>
      <w:r>
        <w:t xml:space="preserve"> </w:t>
      </w:r>
      <w:r>
        <w:rPr>
          <w:i/>
          <w:iCs/>
        </w:rPr>
        <w:t xml:space="preserve">Proc. 12th International Conference on Learning Representations (ICLR 2024)</w:t>
      </w:r>
      <w:r>
        <w:t xml:space="preserve">.</w:t>
      </w:r>
    </w:p>
    <w:bookmarkEnd w:id="34"/>
    <w:bookmarkStart w:id="35" w:name="ref-schick2023toolformer"/>
    <w:p>
      <w:pPr>
        <w:pStyle w:val="Bibliography"/>
      </w:pPr>
      <w:r>
        <w:t xml:space="preserve">Schick, Timo, Jane Dwivedi-Yu, Roberto Dessì, et al. 2023.</w:t>
      </w:r>
      <w:r>
        <w:t xml:space="preserve"> </w:t>
      </w:r>
      <w:r>
        <w:t xml:space="preserve">“Toolformer: Language Models Can Teach Themselves to Use Tools.”</w:t>
      </w:r>
      <w:r>
        <w:t xml:space="preserve"> </w:t>
      </w:r>
      <w:r>
        <w:rPr>
          <w:i/>
          <w:iCs/>
        </w:rPr>
        <w:t xml:space="preserve">Advances in Neural Information Processing Systems 36 (NeurIPS 2023)</w:t>
      </w:r>
      <w:r>
        <w:t xml:space="preserve">.</w:t>
      </w:r>
    </w:p>
    <w:bookmarkEnd w:id="35"/>
    <w:bookmarkStart w:id="36" w:name="ref-wang2024codeact"/>
    <w:p>
      <w:pPr>
        <w:pStyle w:val="Bibliography"/>
      </w:pPr>
      <w:r>
        <w:t xml:space="preserve">Wang, Xingyao, Yangyi Chen, Lifan Yuan, et al. 2024.</w:t>
      </w:r>
      <w:r>
        <w:t xml:space="preserve"> </w:t>
      </w:r>
      <w:r>
        <w:t xml:space="preserve">“Executable Code Actions Elicit Better</w:t>
      </w:r>
      <w:r>
        <w:t xml:space="preserve"> </w:t>
      </w:r>
      <w:r>
        <w:t xml:space="preserve">LLM</w:t>
      </w:r>
      <w:r>
        <w:t xml:space="preserve"> </w:t>
      </w:r>
      <w:r>
        <w:t xml:space="preserve">Agents.”</w:t>
      </w:r>
      <w:r>
        <w:t xml:space="preserve"> </w:t>
      </w:r>
      <w:r>
        <w:rPr>
          <w:i/>
          <w:iCs/>
        </w:rPr>
        <w:t xml:space="preserve">Proc. 41st International Conference on Machine Learning (ICML 2024)</w:t>
      </w:r>
      <w:r>
        <w:t xml:space="preserve">, Proceedings of machine learning research, vol. 235: 50208–32.</w:t>
      </w:r>
    </w:p>
    <w:bookmarkEnd w:id="36"/>
    <w:bookmarkStart w:id="37" w:name="ref-he2025legion"/>
    <w:p>
      <w:pPr>
        <w:pStyle w:val="Bibliography"/>
      </w:pPr>
      <w:r>
        <w:t xml:space="preserve">Wei, Anjiang, Allen Nie, Thiago S. F. X. Teixeira, et al. 2025.</w:t>
      </w:r>
      <w:r>
        <w:t xml:space="preserve"> </w:t>
      </w:r>
      <w:r>
        <w:t xml:space="preserve">“Improving Parallel Program Performance with</w:t>
      </w:r>
      <w:r>
        <w:t xml:space="preserve"> </w:t>
      </w:r>
      <w:r>
        <w:t xml:space="preserve">LLM</w:t>
      </w:r>
      <w:r>
        <w:t xml:space="preserve"> </w:t>
      </w:r>
      <w:r>
        <w:t xml:space="preserve">Optimizers via Agent–System Interfaces.”</w:t>
      </w:r>
      <w:r>
        <w:t xml:space="preserve"> </w:t>
      </w:r>
      <w:r>
        <w:rPr>
          <w:i/>
          <w:iCs/>
        </w:rPr>
        <w:t xml:space="preserve">Proc. 42nd International Conference on Machine Learning (ICML 2025)</w:t>
      </w:r>
      <w:r>
        <w:t xml:space="preserve">.</w:t>
      </w:r>
    </w:p>
    <w:bookmarkEnd w:id="37"/>
    <w:bookmarkStart w:id="38" w:name="ref-yao2023react"/>
    <w:p>
      <w:pPr>
        <w:pStyle w:val="Bibliography"/>
      </w:pPr>
      <w:r>
        <w:t xml:space="preserve">Yao, Shunyu, Jeffrey Zhao, Dian Yu, et al. 2023.</w:t>
      </w:r>
      <w:r>
        <w:t xml:space="preserve"> </w:t>
      </w:r>
      <w:r>
        <w:t xml:space="preserve">“</w:t>
      </w:r>
      <w:r>
        <w:t xml:space="preserve">ReAct</w:t>
      </w:r>
      <w:r>
        <w:t xml:space="preserve">: Synergizing Reasoning and Acting in Language Models.”</w:t>
      </w:r>
      <w:r>
        <w:t xml:space="preserve"> </w:t>
      </w:r>
      <w:r>
        <w:rPr>
          <w:i/>
          <w:iCs/>
        </w:rPr>
        <w:t xml:space="preserve">Proc. 11th International Conference on Learning Representations (ICLR 2023)</w:t>
      </w:r>
      <w:r>
        <w:t xml:space="preserv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0" Target="https://arxiv.org/abs/2305.15334" TargetMode="External" /><Relationship Type="http://schemas.openxmlformats.org/officeDocument/2006/relationships/hyperlink" Id="rId16" Target="https://arxiv.org/abs/2412.15178" TargetMode="External" /><Relationship Type="http://schemas.openxmlformats.org/officeDocument/2006/relationships/hyperlink" Id="rId18" Target="https://arxiv.org/abs/2503.23278" TargetMode="External" /><Relationship Type="http://schemas.openxmlformats.org/officeDocument/2006/relationships/hyperlink" Id="rId17" Target="https://arxiv.org/abs/2602.14878" TargetMode="External" /><Relationship Type="http://schemas.openxmlformats.org/officeDocument/2006/relationships/hyperlink" Id="rId19" Target="https://doi.org/10.1145/3625549.3658689" TargetMode="External" /><Relationship Type="http://schemas.openxmlformats.org/officeDocument/2006/relationships/hyperlink" Id="rId14" Target="https://doi.org/10.4236/jcc.2017.59009" TargetMode="External" /><Relationship Type="http://schemas.openxmlformats.org/officeDocument/2006/relationships/hyperlink" Id="rId15" Target="https://github.com/alexeybogusevich/parcs8" TargetMode="External" /><Relationship Type="http://schemas.openxmlformats.org/officeDocument/2006/relationships/hyperlink" Id="rId13" Target="https://modelcontextprotocol.io" TargetMode="External" /><Relationship Type="http://schemas.openxmlformats.org/officeDocument/2006/relationships/hyperlink" Id="rId9" Target="https://orcid.org/0000-0000-0000-0000" TargetMode="External" /></Relationships>
</file>

<file path=word/_rels/footnotes.xml.rels><?xml version="1.0" encoding="UTF-8"?><Relationships xmlns="http://schemas.openxmlformats.org/package/2006/relationships"><Relationship Type="http://schemas.openxmlformats.org/officeDocument/2006/relationships/hyperlink" Id="rId20" Target="https://arxiv.org/abs/2305.15334" TargetMode="External" /><Relationship Type="http://schemas.openxmlformats.org/officeDocument/2006/relationships/hyperlink" Id="rId16" Target="https://arxiv.org/abs/2412.15178" TargetMode="External" /><Relationship Type="http://schemas.openxmlformats.org/officeDocument/2006/relationships/hyperlink" Id="rId18" Target="https://arxiv.org/abs/2503.23278" TargetMode="External" /><Relationship Type="http://schemas.openxmlformats.org/officeDocument/2006/relationships/hyperlink" Id="rId17" Target="https://arxiv.org/abs/2602.14878" TargetMode="External" /><Relationship Type="http://schemas.openxmlformats.org/officeDocument/2006/relationships/hyperlink" Id="rId19" Target="https://doi.org/10.1145/3625549.3658689" TargetMode="External" /><Relationship Type="http://schemas.openxmlformats.org/officeDocument/2006/relationships/hyperlink" Id="rId14" Target="https://doi.org/10.4236/jcc.2017.59009" TargetMode="External" /><Relationship Type="http://schemas.openxmlformats.org/officeDocument/2006/relationships/hyperlink" Id="rId15" Target="https://github.com/alexeybogusevich/parcs8" TargetMode="External" /><Relationship Type="http://schemas.openxmlformats.org/officeDocument/2006/relationships/hyperlink" Id="rId13" Target="https://modelcontextprotocol.io" TargetMode="External" /><Relationship Type="http://schemas.openxmlformats.org/officeDocument/2006/relationships/hyperlink" Id="rId9" Target="https://orcid.org/0000-0000-0000-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2026-05-12T16:37:42Z</dcterms:created>
  <dcterms:modified xsi:type="dcterms:W3CDTF">2026-05-12T16:37:42Z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bib/references.bib</vt:lpwstr>
  </property>
</Properties>
</file>