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63" w:rsidRDefault="00180B63" w:rsidP="00180B6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Мастер ПО ФКП </w:t>
      </w:r>
    </w:p>
    <w:p w:rsidR="00180B63" w:rsidRDefault="00180B63" w:rsidP="00180B6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образовательного учреждения № 38</w:t>
      </w:r>
    </w:p>
    <w:p w:rsidR="00180B63" w:rsidRDefault="00180B63" w:rsidP="00180B6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Бычков А.А.</w:t>
      </w:r>
    </w:p>
    <w:p w:rsidR="00180B63" w:rsidRDefault="00180B63" w:rsidP="00180B6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CD4E10" w:rsidRPr="00C06BDE" w:rsidRDefault="00CD4E10" w:rsidP="00CD4E1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6B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Активизация познавательной деятельности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обучающихся </w:t>
      </w:r>
      <w:r w:rsidRPr="00C06BDE">
        <w:rPr>
          <w:rFonts w:ascii="Times New Roman" w:eastAsia="Times New Roman" w:hAnsi="Times New Roman" w:cs="Times New Roman"/>
          <w:b/>
          <w:bCs/>
          <w:sz w:val="28"/>
          <w:szCs w:val="28"/>
        </w:rPr>
        <w:t>на уроках производственного обучения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Творческое отношение к труду, развитие логического мышления, анализ собственной деятельности, оценка качества выполняемых работ, развитие навыков самоконтроля и взаимоконтр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оля, развитие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коммуникативности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активизации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производственного обучения.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Активизация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производственного обучения способствует самостоятельному и творческому выполнению ими под руководством мастера учебно-производственных работ, направленному на успешное овладение профессией. Сам процесс производственного обучения заставляет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активными. Содержание производственного обучения способствует сознательному применению теоретических знаний при выполнении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обучающимися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практических работ. Успех практической подготовки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, активизация их в процессе обучения зависит от характера учебного материала, конкретных дидактических целей, а также выбора методов.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уроках производственного обучения используются различные методы активизации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D4E10" w:rsidRPr="00642AF8" w:rsidRDefault="00CD4E10" w:rsidP="00CD4E1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A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словесно-наглядные;</w:t>
      </w:r>
    </w:p>
    <w:p w:rsidR="00CD4E10" w:rsidRPr="00642AF8" w:rsidRDefault="00CD4E10" w:rsidP="00CD4E1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A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словесно-демонстрационные;</w:t>
      </w:r>
    </w:p>
    <w:p w:rsidR="00CD4E10" w:rsidRPr="00642AF8" w:rsidRDefault="00CD4E10" w:rsidP="00CD4E10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A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практические.</w:t>
      </w:r>
    </w:p>
    <w:p w:rsidR="00CD4E10" w:rsidRDefault="00CD4E10" w:rsidP="00CD4E10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мастера производственного обучения состоит в том, чтобы с основной формой обучения - уроком - шире практиковать и использовать 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разные формы (индивидуальную, фронтально - групповую) и средства обучения, способствующие активизации познавательной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Активизация познавательной деятельности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обучающихся начинается в процессе обучения с 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умения работы с литературой. Первоначальные навыки работы с книгой должны получить дальнейшее развитие в процессе обучения, они получают обобщенные навыки и умения проводить аналогии с теоретическими знаниями, устанавливать ассоциации. Эффективность этого приема активизации познавательной деятельности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обусловлена тем, что умозаключения по аналогии облегчают переход от известного к неизвестному и составляют непременную часть творческого мышления.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уроках производственного обучения важную роль в активизации познавательной деятельности имеет </w:t>
      </w:r>
      <w:r w:rsidRPr="008A59F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упражнение.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Обучающиеся 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упражнений отрабатывают приемы и навыки профессиональной деятельности, сначала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обучающиеся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работают с более простым материалом. При разработке дидактического материала должен выдерживаться принцип от простого к сложному, доступность и посильность выполнения, учитываться индивидуальные особенности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Карточки - задания составляются с целью развития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логического мышления и с учетом </w:t>
      </w:r>
      <w:proofErr w:type="spellStart"/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межпредметных</w:t>
      </w:r>
      <w:proofErr w:type="spellEnd"/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связей.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Наглядные пособия, применяемые в условиях практического обучения, выполняют две функции: при объяснении нового материала являются основным источником знаний; используются со специальной целью как вспомогательный материал.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Письменное инструктирование обеспечивает наиболее широкие возможности использования его как средства для управления самостоятельной деятельностью студентов, являющееся дополнительным источником словесной информации, позволяет сохранить инструкцию в течение всего периода обучения и, следовательно, создает возможность повторного обращения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ней для получения тех или иных дополнительных 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сведений. Важным качеством письменной инструкции является и то, что она позволяет передать информацию о том, что и как должен делать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выполняя задание. Инструкционные карты развивают у студентов навыки чтения и способствуют усвоению предлагаемого материала.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Карточки-задания с рисунками помогают развивать зрительную память при выполнении определённых операций. Выполнение подобного задания подготавливают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обучающимся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сознательному, активному усвоению и способствуют более глубокому осмыслению при выполнении практических заданий. Использование карточек - заданий позволяет варьировать методические приемы в проведении вводного инструктажа для активизации деятельности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Карточки контроля служат для выработки навыков контроля, самоконтроля, самостоятельности в работе. Для контроля знаний,</w:t>
      </w:r>
      <w:r w:rsidR="00EA26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применяются карты программированного опроса с графическим изображением, где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обучающиеся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находят правильный ответ и соответственно расставляют цифры.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BDE">
        <w:rPr>
          <w:rFonts w:ascii="Times New Roman" w:eastAsia="Times New Roman" w:hAnsi="Times New Roman" w:cs="Times New Roman"/>
          <w:sz w:val="28"/>
          <w:szCs w:val="28"/>
        </w:rPr>
        <w:t>Для контроля знаний,</w:t>
      </w:r>
      <w:r w:rsidR="00EA26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</w:t>
      </w:r>
      <w:r w:rsidRPr="00C06BDE">
        <w:rPr>
          <w:rFonts w:ascii="Times New Roman" w:eastAsia="Times New Roman" w:hAnsi="Times New Roman" w:cs="Times New Roman"/>
          <w:sz w:val="28"/>
          <w:szCs w:val="28"/>
        </w:rPr>
        <w:t>уча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C06BDE">
        <w:rPr>
          <w:rFonts w:ascii="Times New Roman" w:eastAsia="Times New Roman" w:hAnsi="Times New Roman" w:cs="Times New Roman"/>
          <w:sz w:val="28"/>
          <w:szCs w:val="28"/>
        </w:rPr>
        <w:t xml:space="preserve">щихся применяются карты программированного опроса с графическим изображением, где учащиеся находят правильный ответ и соответственно расставляют цифры. Обязательным условием развития познавательной активности </w:t>
      </w:r>
      <w:r>
        <w:rPr>
          <w:rFonts w:ascii="Times New Roman" w:eastAsia="Times New Roman" w:hAnsi="Times New Roman" w:cs="Times New Roman"/>
          <w:sz w:val="28"/>
          <w:szCs w:val="28"/>
        </w:rPr>
        <w:t>об</w:t>
      </w:r>
      <w:r w:rsidRPr="00C06BDE">
        <w:rPr>
          <w:rFonts w:ascii="Times New Roman" w:eastAsia="Times New Roman" w:hAnsi="Times New Roman" w:cs="Times New Roman"/>
          <w:sz w:val="28"/>
          <w:szCs w:val="28"/>
        </w:rPr>
        <w:t>уча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C06BDE">
        <w:rPr>
          <w:rFonts w:ascii="Times New Roman" w:eastAsia="Times New Roman" w:hAnsi="Times New Roman" w:cs="Times New Roman"/>
          <w:sz w:val="28"/>
          <w:szCs w:val="28"/>
        </w:rPr>
        <w:t>щихся в условиях программированного опроса является индивидуализация обучения, предоставление учащимся возможности самостоятельно выполнять предлагаемые задания в свойственном им темпе, обеспечивающем сознательное усвоение материала.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фронтального опроса используются «диктанты», составленные на определенные темы или разделы.</w:t>
      </w:r>
    </w:p>
    <w:p w:rsidR="00CD4E10" w:rsidRPr="00F634B1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Карточки - подсказки используются для предупреждения дефектов в работе.</w:t>
      </w: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уроках производственного обучения могут быть использованы познавательные игры, составленные с учетом знаний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соответствии с выбранной целью, с целью повторения или закрепления материала можно использовать игры.</w:t>
      </w:r>
    </w:p>
    <w:p w:rsidR="00CD4E10" w:rsidRPr="00320E96" w:rsidRDefault="00CD4E10" w:rsidP="00CD4E10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Кроссворды как дидактическая интеллектуальная игра хороши тем, что развивают умственные способности, концентрацию внимания, активизируют память, процессы самообразования. В учебном процессе кроссворды применяю для проверки качества усвоения знаний, для привлечения и поддержания внимания, обучающихся в процессе изложения нового материала, а также ранее пройденного, как основы понимания новой темы. Кроссворды применяю для индивидуальной работы, в целях проверки усвоения знаний, для работы в </w:t>
      </w:r>
      <w:proofErr w:type="spellStart"/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микрогруппах</w:t>
      </w:r>
      <w:proofErr w:type="spellEnd"/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Разработанные и апробированные дидактические материалы подтвердили свою эффективность. Активизация познавательной деятельности у студентов, заключается: в многообразии методических приемов изучения и закрепления нового учебного материала; в использовании разносторонних средств наглядности; в самостоятельной работе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="00EA267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4E10" w:rsidRDefault="00CD4E10" w:rsidP="00CD4E1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1B43" w:rsidRDefault="00180B63"/>
    <w:sectPr w:rsidR="00CE1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42B7"/>
    <w:multiLevelType w:val="hybridMultilevel"/>
    <w:tmpl w:val="5666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10"/>
    <w:rsid w:val="00157704"/>
    <w:rsid w:val="00180B63"/>
    <w:rsid w:val="009063E9"/>
    <w:rsid w:val="00CD4E10"/>
    <w:rsid w:val="00E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A20C"/>
  <w15:chartTrackingRefBased/>
  <w15:docId w15:val="{730A9DF4-4BF1-49EC-9632-C5964A94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E1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D4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2024-03-28T11:12:00Z</dcterms:created>
  <dcterms:modified xsi:type="dcterms:W3CDTF">2024-04-15T06:46:00Z</dcterms:modified>
</cp:coreProperties>
</file>