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harts/colors3.xml" ContentType="application/vnd.ms-office.chartcolor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hart2.xml" ContentType="application/vnd.openxmlformats-officedocument.drawingml.chart+xml"/>
  <Override PartName="/docProps/core.xml" ContentType="application/vnd.openxmlformats-package.core-properties+xml"/>
  <Override PartName="/word/charts/style1.xml" ContentType="application/vnd.ms-office.chartstyle+xml"/>
  <Override PartName="/word/charts/chart1.xml" ContentType="application/vnd.openxmlformats-officedocument.drawingml.chart+xml"/>
  <Override PartName="/word/charts/colors1.xml" ContentType="application/vnd.ms-office.chartcolorstyle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charts/style3.xml" ContentType="application/vnd.ms-office.chartsty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_634"/>
        <w:pBdr/>
        <w:spacing/>
        <w:ind w:firstLine="0"/>
        <w:jc w:val="left"/>
        <w:rPr/>
      </w:pPr>
      <w:r>
        <w:t xml:space="preserve">Таблица 4.4 – Итоговый отчёт качества веб-сайта</w:t>
      </w:r>
      <w:r/>
      <w:r/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6727"/>
        <w:gridCol w:w="2617"/>
      </w:tblGrid>
      <w:tr>
        <w:trPr/>
        <w:tc>
          <w:tcPr>
            <w:gridSpan w:val="2"/>
            <w:shd w:val="clear" w:color="ffffff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Дата тестирования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/>
        <w:tc>
          <w:tcPr>
            <w:gridSpan w:val="2"/>
            <w:tcBorders/>
            <w:tcW w:w="9344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/>
            </w:pPr>
            <w:r>
              <w:rPr>
                <w:lang w:val="en-US"/>
              </w:rPr>
              <w:t xml:space="preserve">29</w:t>
            </w:r>
            <w:r>
              <w:t xml:space="preserve">.0</w:t>
            </w:r>
            <w:r>
              <w:rPr>
                <w:lang w:val="en-US"/>
              </w:rPr>
              <w:t xml:space="preserve">4</w:t>
            </w:r>
            <w:r>
              <w:t xml:space="preserve">.202</w:t>
            </w:r>
            <w:r>
              <w:rPr>
                <w:lang w:val="en-US"/>
              </w:rPr>
              <w:t xml:space="preserve">4</w:t>
            </w:r>
            <w:r/>
            <w:r/>
          </w:p>
        </w:tc>
      </w:tr>
      <w:tr>
        <w:trPr>
          <w:trHeight w:val="607"/>
        </w:trPr>
        <w:tc>
          <w:tcPr>
            <w:tcBorders/>
            <w:tcW w:w="6727" w:type="dxa"/>
            <w:vMerge w:val="restart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237490</wp:posOffset>
                      </wp:positionV>
                      <wp:extent cx="1757680" cy="1713230"/>
                      <wp:effectExtent l="0" t="0" r="0" b="1270"/>
                      <wp:wrapSquare wrapText="bothSides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9190946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rcRect l="2118" t="981" r="-2117" b="878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57678" cy="1713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0.05pt;mso-position-horizontal:absolute;mso-position-vertical-relative:text;margin-top:18.70pt;mso-position-vertical:absolute;width:138.40pt;height:134.90pt;mso-wrap-distance-left:9.00pt;mso-wrap-distance-top:0.00pt;mso-wrap-distance-right:9.00pt;mso-wrap-distance-bottom:0.00pt;z-index:1;" stroked="f">
                      <w10:wrap type="square"/>
                      <v:imagedata r:id="rId8" o:title=""/>
                      <o:lock v:ext="edit" rotation="t"/>
                    </v:shape>
                  </w:pict>
                </mc:Fallback>
              </mc:AlternateContent>
            </w:r>
            <w:r>
              <w:t xml:space="preserve">Выставленная отметка качества – </w:t>
            </w:r>
            <w:r>
              <w:rPr>
                <w:lang w:val="en-US"/>
              </w:rPr>
              <w:t xml:space="preserve">High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Smoke test </w:t>
            </w:r>
            <w:r>
              <w:rPr>
                <w:lang w:val="en-US"/>
              </w:rPr>
              <w:t xml:space="preserve">Acceptable</w:t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</w:tr>
      <w:tr>
        <w:trPr>
          <w:trHeight w:val="607"/>
        </w:trPr>
        <w:tc>
          <w:tcPr>
            <w:tcBorders/>
            <w:tcW w:w="6727" w:type="dxa"/>
            <w:vMerge w:val="continue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/>
            </w:pPr>
            <w:r/>
            <w:r/>
            <w:r/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Acceptance test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High</w:t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</w:tr>
      <w:tr>
        <w:trPr>
          <w:trHeight w:val="607"/>
        </w:trPr>
        <w:tc>
          <w:tcPr>
            <w:tcBorders/>
            <w:tcW w:w="6727" w:type="dxa"/>
            <w:vMerge w:val="continue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/>
            </w:pPr>
            <w:r/>
            <w:r/>
            <w:r/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New defects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4</w:t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/>
            <w:tcW w:w="6727" w:type="dxa"/>
            <w:vMerge w:val="continue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/>
            </w:pPr>
            <w:r/>
            <w:r/>
            <w:r/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Test documentation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Test Cases</w:t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gridSpan w:val="2"/>
            <w:shd w:val="clear" w:color="ffffff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>
                <w:b/>
                <w:bCs/>
                <w:lang w:val="en-US"/>
              </w:rPr>
            </w:pPr>
            <w:r>
              <w:rPr>
                <w:color w:val="ffffff" w:themeColor="background1"/>
              </w:rPr>
              <w:t xml:space="preserve">Детальный анализ качества</w:t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gridSpan w:val="2"/>
            <w:shd w:val="clear" w:color="ffffff" w:fill="ffffff"/>
            <w:tcBorders/>
            <w:tcW w:w="9344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>
                <w:color w:val="ffffff" w:themeColor="background1"/>
                <w:highlight w:val="none"/>
              </w:rPr>
            </w:pPr>
            <w:r>
              <w:rPr>
                <w:color w:val="ffffff" w:themeColor="background1"/>
              </w:rPr>
              <w:drawing>
                <wp:inline distT="0" distB="0" distL="0" distR="0">
                  <wp:extent cx="2181247" cy="2224767"/>
                  <wp:effectExtent l="4762" t="4762" r="4762" b="4762"/>
                  <wp:docPr id="2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drawing>
                <wp:inline distT="0" distB="0" distL="0" distR="0">
                  <wp:extent cx="3457597" cy="2366407"/>
                  <wp:effectExtent l="4762" t="4762" r="4762" b="4762"/>
                  <wp:docPr id="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  <w:r>
              <w:rPr>
                <w:color w:val="ffffff" w:themeColor="background1"/>
                <w:highlight w:val="none"/>
              </w:rPr>
            </w:r>
            <w:r>
              <w:rPr>
                <w:color w:val="ffffff" w:themeColor="background1"/>
                <w:highlight w:val="none"/>
              </w:rPr>
            </w:r>
          </w:p>
          <w:p>
            <w:pPr>
              <w:pStyle w:val="1_634"/>
              <w:pBdr/>
              <w:shd w:val="clear" w:color="auto" w:fill="auto"/>
              <w:spacing/>
              <w:ind w:firstLine="0"/>
              <w:rPr>
                <w:color w:val="ffffff" w:themeColor="background1"/>
                <w:highlight w:val="none"/>
              </w:rPr>
            </w:pPr>
            <w:r>
              <w:rPr>
                <w:color w:val="ffffff" w:themeColor="background1"/>
                <w:highlight w:val="none"/>
              </w:rPr>
            </w:r>
            <w:r>
              <w:rPr>
                <w:color w:val="ffffff" w:themeColor="background1"/>
                <w:highlight w:val="none"/>
              </w:rPr>
            </w:r>
            <w:r>
              <w:rPr>
                <w:color w:val="ffffff" w:themeColor="background1"/>
                <w:highlight w:val="none"/>
              </w:rPr>
            </w:r>
          </w:p>
          <w:p>
            <w:pPr>
              <w:pStyle w:val="1_634"/>
              <w:pBdr/>
              <w:shd w:val="clear" w:color="auto" w:fill="auto"/>
              <w:spacing/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  <w:highlight w:val="none"/>
              </w:rPr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4.4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612"/>
        <w:gridCol w:w="3613"/>
        <w:gridCol w:w="4"/>
        <w:gridCol w:w="2127"/>
      </w:tblGrid>
      <w:tr>
        <w:trPr/>
        <w:tc>
          <w:tcPr>
            <w:gridSpan w:val="4"/>
            <w:shd w:val="clear" w:color="ffffff" w:fill="808080" w:themeFill="background1" w:themeFillShade="80"/>
            <w:tcBorders/>
            <w:tcW w:w="9355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Top </w:t>
            </w:r>
            <w:r>
              <w:rPr>
                <w:color w:val="ffffff" w:themeColor="background1"/>
                <w:lang w:val="ru-RU"/>
              </w:rPr>
              <w:t xml:space="preserve">2</w:t>
            </w:r>
            <w:r>
              <w:rPr>
                <w:color w:val="ffffff" w:themeColor="background1"/>
                <w:lang w:val="en-US"/>
              </w:rPr>
              <w:t xml:space="preserve"> most important issues</w:t>
            </w:r>
            <w:r>
              <w:rPr>
                <w:color w:val="ffffff" w:themeColor="background1"/>
                <w:lang w:val="en-US"/>
              </w:rPr>
            </w:r>
            <w:r>
              <w:rPr>
                <w:color w:val="ffffff" w:themeColor="background1"/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7228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lang w:val="en-US"/>
              </w:rPr>
              <w:t xml:space="preserve">ID</w:t>
            </w:r>
            <w:r>
              <w:rPr>
                <w:b/>
                <w:bCs/>
                <w:color w:val="ffffff" w:themeColor="background1"/>
                <w:lang w:val="en-US"/>
              </w:rPr>
            </w:r>
            <w:r>
              <w:rPr>
                <w:b/>
                <w:bCs/>
                <w:color w:val="ffffff" w:themeColor="background1"/>
                <w:lang w:val="en-US"/>
              </w:rPr>
            </w:r>
          </w:p>
        </w:tc>
        <w:tc>
          <w:tcPr>
            <w:shd w:val="clear" w:color="ffffff" w:fill="ffffff" w:themeFill="background1"/>
            <w:tcBorders/>
            <w:tcW w:w="2127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Severity</w:t>
            </w:r>
            <w:r>
              <w:rPr>
                <w:b/>
                <w:bCs/>
                <w:color w:val="ffffff" w:themeColor="background1"/>
                <w:lang w:val="en-US"/>
              </w:rPr>
            </w:r>
            <w:r>
              <w:rPr>
                <w:b/>
                <w:bCs/>
                <w:color w:val="ffffff" w:themeColor="background1"/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7228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/>
            </w:pPr>
            <w:r>
              <w:t xml:space="preserve">№3</w:t>
            </w:r>
            <w:r/>
            <w:r/>
          </w:p>
        </w:tc>
        <w:tc>
          <w:tcPr>
            <w:shd w:val="clear" w:color="ffffff" w:fill="ffffff" w:themeFill="background1"/>
            <w:tcBorders/>
            <w:tcW w:w="2127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Critical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7228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t xml:space="preserve">№</w:t>
            </w:r>
            <w:r>
              <w:rPr>
                <w:lang w:val="ru-RU"/>
              </w:rPr>
              <w:t xml:space="preserve">2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shd w:val="clear" w:color="ffffff" w:fill="ffffff" w:themeFill="background1"/>
            <w:tcBorders/>
            <w:tcW w:w="2127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Major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4"/>
            <w:shd w:val="clear" w:color="ffffff" w:fill="808080" w:themeFill="background1" w:themeFillShade="80"/>
            <w:tcBorders/>
            <w:tcW w:w="9355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Testing enviroment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4"/>
            <w:shd w:val="clear" w:color="ffffff" w:fill="ffffff" w:themeFill="background1"/>
            <w:tcBorders/>
            <w:tcW w:w="9355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>
                <w:highlight w:val="none"/>
                <w:lang w:val="en-US"/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OS: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Windows 11 Pro</w:t>
            </w:r>
            <w:r>
              <w:rPr>
                <w:highlight w:val="none"/>
                <w:lang w:val="en-US"/>
                <w14:ligatures w14:val="none"/>
              </w:rPr>
            </w:r>
            <w:r>
              <w:rPr>
                <w:highlight w:val="none"/>
                <w:lang w:val="en-US"/>
                <w14:ligatures w14:val="none"/>
              </w:rPr>
            </w:r>
          </w:p>
          <w:p>
            <w:pPr>
              <w:pStyle w:val="1_634"/>
              <w:pBdr/>
              <w:shd w:val="clear" w:color="auto" w:fill="auto"/>
              <w:spacing/>
              <w:ind w:firstLine="0"/>
              <w:rPr>
                <w:lang w:val="en-US"/>
                <w14:ligatures w14:val="none"/>
              </w:rPr>
            </w:pPr>
            <w:r>
              <w:rPr>
                <w:highlight w:val="none"/>
                <w:lang w:val="en-US"/>
              </w:rPr>
              <w:t xml:space="preserve">Version: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22H2</w:t>
            </w:r>
            <w:r>
              <w:rPr>
                <w:lang w:val="en-US"/>
                <w14:ligatures w14:val="none"/>
              </w:rPr>
            </w:r>
            <w:r>
              <w:rPr>
                <w:lang w:val="en-US"/>
                <w14:ligatures w14:val="none"/>
              </w:rPr>
            </w:r>
          </w:p>
          <w:p>
            <w:pPr>
              <w:pStyle w:val="1_634"/>
              <w:pBdr/>
              <w:shd w:val="clear" w:color="auto" w:fill="auto"/>
              <w:spacing/>
              <w:ind w:firstLine="0"/>
              <w:rPr>
                <w:highlight w:val="none"/>
                <w:lang w:val="en-US"/>
                <w14:ligatures w14:val="none"/>
              </w:rPr>
            </w:pPr>
            <w:r>
              <w:rPr>
                <w:lang w:val="en-US"/>
              </w:rPr>
              <w:t xml:space="preserve">IDE: Visual Studio 2022</w:t>
            </w:r>
            <w:r>
              <w:rPr>
                <w:highlight w:val="none"/>
                <w:lang w:val="en-US"/>
                <w14:ligatures w14:val="none"/>
              </w:rPr>
            </w:r>
            <w:r>
              <w:rPr>
                <w:highlight w:val="none"/>
                <w:lang w:val="en-US"/>
                <w14:ligatures w14:val="none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7228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4343422" cy="2653572"/>
                  <wp:effectExtent l="4762" t="4762" r="4762" b="4762"/>
                  <wp:docPr id="4" name="Диаграмма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  <w:tc>
          <w:tcPr>
            <w:shd w:val="clear" w:color="ffffff" w:fill="ffffff" w:themeFill="background1"/>
            <w:tcBorders/>
            <w:tcW w:w="2127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Рекомендации: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Style w:val="1_634"/>
              <w:pBdr/>
              <w:shd w:val="clear" w:color="auto" w:fill="auto"/>
              <w:spacing/>
              <w:ind w:firstLine="0"/>
              <w:jc w:val="left"/>
              <w:rPr/>
            </w:pPr>
            <w:r>
              <w:t xml:space="preserve">Обратите внимание на </w:t>
            </w:r>
            <w:r>
              <w:t xml:space="preserve">то, что при работе с ожиданием состояния активируется режим ожидания, но не для выбранного состояния</w:t>
            </w:r>
            <w:r/>
            <w:r/>
          </w:p>
        </w:tc>
      </w:tr>
      <w:tr>
        <w:trPr/>
        <w:tc>
          <w:tcPr>
            <w:gridSpan w:val="4"/>
            <w:shd w:val="clear" w:color="ffffff" w:fill="a6a6a6" w:themeFill="background1" w:themeFillShade="A6"/>
            <w:tcBorders/>
            <w:tcW w:w="9355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Выводы по модулям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ffffff" w:fill="ffffff" w:themeFill="background1"/>
            <w:tcBorders/>
            <w:tcW w:w="3612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jc w:val="center"/>
              <w:rPr/>
            </w:pPr>
            <w:r>
              <w:t xml:space="preserve">Модуль</w:t>
            </w:r>
            <w:r/>
            <w:r/>
          </w:p>
        </w:tc>
        <w:tc>
          <w:tcPr>
            <w:shd w:val="clear" w:color="ffffff" w:fill="ffffff" w:themeFill="background1"/>
            <w:tcBorders/>
            <w:tcW w:w="3613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jc w:val="center"/>
              <w:rPr/>
            </w:pPr>
            <w:r>
              <w:t xml:space="preserve">Качество</w:t>
            </w:r>
            <w:r/>
            <w:r/>
          </w:p>
        </w:tc>
        <w:tc>
          <w:tcPr>
            <w:gridSpan w:val="2"/>
            <w:shd w:val="clear" w:color="ffffff" w:fill="ffffff" w:themeFill="background1"/>
            <w:tcBorders/>
            <w:tcW w:w="2131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jc w:val="center"/>
              <w:rPr/>
            </w:pPr>
            <w:r>
              <w:t xml:space="preserve">Комментарий</w:t>
            </w:r>
            <w:r/>
            <w:r/>
          </w:p>
        </w:tc>
      </w:tr>
      <w:tr>
        <w:trPr/>
        <w:tc>
          <w:tcPr>
            <w:shd w:val="clear" w:color="ffffff" w:fill="ffffff" w:themeFill="background1"/>
            <w:tcBorders/>
            <w:tcW w:w="3612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/>
            </w:pPr>
            <w:r>
              <w:t xml:space="preserve">Методы работы с элементом</w:t>
            </w:r>
            <w:r/>
            <w:r/>
          </w:p>
        </w:tc>
        <w:tc>
          <w:tcPr>
            <w:shd w:val="clear" w:color="ffffff" w:fill="ffffff" w:themeFill="background1"/>
            <w:tcBorders/>
            <w:tcW w:w="3613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High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2"/>
            <w:shd w:val="clear" w:color="ffffff" w:fill="ffffff" w:themeFill="background1"/>
            <w:tcBorders/>
            <w:tcW w:w="2131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jc w:val="left"/>
              <w:rPr/>
            </w:pPr>
            <w:r>
              <w:t xml:space="preserve">Обратите внимание на типы состояний и специфику исключений</w:t>
            </w:r>
            <w:r/>
            <w:r/>
          </w:p>
        </w:tc>
      </w:tr>
      <w:tr>
        <w:trPr/>
        <w:tc>
          <w:tcPr>
            <w:shd w:val="clear" w:color="ffffff" w:fill="ffffff" w:themeFill="background1"/>
            <w:tcBorders/>
            <w:tcW w:w="3612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/>
            </w:pPr>
            <w:r>
              <w:t xml:space="preserve">Интерфейс симулируемого браузера</w:t>
            </w:r>
            <w:r/>
            <w:r/>
          </w:p>
        </w:tc>
        <w:tc>
          <w:tcPr>
            <w:shd w:val="clear" w:color="ffffff" w:fill="ffffff" w:themeFill="background1"/>
            <w:tcBorders/>
            <w:tcW w:w="3613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Medium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2"/>
            <w:shd w:val="clear" w:color="ffffff" w:fill="ffffff" w:themeFill="background1"/>
            <w:tcBorders/>
            <w:tcW w:w="2131" w:type="dxa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jc w:val="left"/>
              <w:rPr/>
            </w:pPr>
            <w:r>
              <w:t xml:space="preserve">Обратите внимание на выделение именно активного элемента</w:t>
            </w:r>
            <w:r/>
            <w:r/>
          </w:p>
        </w:tc>
      </w:tr>
      <w:tr>
        <w:trPr>
          <w:trHeight w:val="1262"/>
        </w:trPr>
        <w:tc>
          <w:tcPr>
            <w:shd w:val="clear" w:color="ffffff" w:fill="ffffff" w:themeFill="background1"/>
            <w:tcBorders/>
            <w:tcW w:w="3612" w:type="dxa"/>
            <w:vMerge w:val="restart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/>
            </w:pPr>
            <w:r>
              <w:t xml:space="preserve">Конфигурационный файл</w:t>
            </w:r>
            <w:r/>
            <w:r/>
          </w:p>
        </w:tc>
        <w:tc>
          <w:tcPr>
            <w:shd w:val="clear" w:color="ffffff" w:fill="ffffff" w:themeFill="background1"/>
            <w:tcBorders/>
            <w:tcW w:w="3613" w:type="dxa"/>
            <w:vMerge w:val="restart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Low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gridSpan w:val="2"/>
            <w:shd w:val="clear" w:color="ffffff" w:fill="ffffff" w:themeFill="background1"/>
            <w:tcBorders/>
            <w:tcW w:w="2131" w:type="dxa"/>
            <w:vMerge w:val="restart"/>
            <w:textDirection w:val="lrTb"/>
            <w:noWrap w:val="false"/>
          </w:tcPr>
          <w:p>
            <w:pPr>
              <w:pStyle w:val="1_634"/>
              <w:pBdr/>
              <w:shd w:val="clear" w:color="auto" w:fill="auto"/>
              <w:spacing/>
              <w:ind w:firstLine="0"/>
              <w:jc w:val="left"/>
              <w:rPr/>
            </w:pPr>
            <w:r>
              <w:t xml:space="preserve">Обратите внимание на поддержку браузера </w:t>
            </w:r>
            <w:r>
              <w:rPr>
                <w:lang w:val="en-US"/>
              </w:rPr>
              <w:t xml:space="preserve">Edge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paragraph" w:styleId="1_634" w:customStyle="1">
    <w:name w:val="ГОСТ"/>
    <w:basedOn w:val="1058"/>
    <w:link w:val="1064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76" w:lineRule="auto"/>
      <w:ind w:right="0" w:firstLine="720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chart" Target="charts/chart1.xml" /><Relationship Id="rId10" Type="http://schemas.openxmlformats.org/officeDocument/2006/relationships/chart" Target="charts/chart2.xml" /><Relationship Id="rId11" Type="http://schemas.openxmlformats.org/officeDocument/2006/relationships/chart" Target="charts/chart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_rels/chart3.xml.rels><?xml version="1.0" encoding="UTF-8" standalone="yes"?><Relationships xmlns="http://schemas.openxmlformats.org/package/2006/relationships"><Relationship Id="rId1" Type="http://schemas.microsoft.com/office/2011/relationships/chartStyle" Target="style3.xml" /><Relationship Id="rId2" Type="http://schemas.microsoft.com/office/2011/relationships/chartColorStyle" Target="colors3.xml" /><Relationship Id="rId3" Type="http://schemas.openxmlformats.org/officeDocument/2006/relationships/package" Target="../embeddings/Microsoft_Excel_Worksheet3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 i="0">
                <a:solidFill>
                  <a:schemeClr val="tx1"/>
                </a:solidFill>
                <a:latin typeface="Times New Roman"/>
                <a:cs typeface="Times New Roman"/>
              </a:rPr>
              <a:t>Распределение дефектов по типу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Распределение дефектов</c:v>
                </c:pt>
              </c:strCache>
            </c:strRef>
          </c:tx>
          <c:dPt>
            <c:idx val="0"/>
            <c:bubble3D val="0"/>
            <c:spPr bwMode="auto">
              <a:prstGeom prst="rect">
                <a:avLst/>
              </a:prstGeom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1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1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>
                <c:rich>
                  <a:bodyPr rot="0" spcFirstLastPara="1" vertOverflow="ellipsis" vert="horz" wrap="square" lIns="38098" tIns="19048" rIns="38098" bIns="19048" anchor="ctr" anchorCtr="1">
                    <a:spAutoFit/>
                  </a:bodyPr>
                  <a:p>
                    <a:pPr>
                      <a:defRPr sz="900" b="0" i="0" u="none" strike="noStrike">
                        <a:solidFill>
                          <a:schemeClr val="bg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/>
                      <a:t>1</a:t>
                    </a:r>
                    <a:endParaRPr/>
                  </a:p>
                </c:rich>
              </c:tx>
              <c:txPr>
                <a:bodyPr rot="0" spcFirstLastPara="1" vertOverflow="ellipsis" vert="horz" wrap="square" lIns="38098" tIns="19048" rIns="38098" bIns="19048" anchor="ctr" anchorCtr="1">
                  <a:spAutoFit/>
                </a:bodyPr>
                <a:lstStyle/>
                <a:p>
                  <a:pPr>
                    <a:defRPr sz="900" b="0" i="0" u="none" strike="noStrike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0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1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>
                <c:rich>
                  <a:bodyPr rot="0" spcFirstLastPara="1" vertOverflow="ellipsis" vert="horz" wrap="square" lIns="38098" tIns="19048" rIns="38098" bIns="19048" anchor="ctr" anchorCtr="1">
                    <a:spAutoFit/>
                  </a:bodyPr>
                  <a:p>
                    <a:pPr>
                      <a:defRPr sz="900" b="0" i="0" u="none" strike="noStrike">
                        <a:solidFill>
                          <a:schemeClr val="bg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/>
                      <a:t>3</a:t>
                    </a:r>
                    <a:endParaRPr/>
                  </a:p>
                </c:rich>
              </c:tx>
              <c:txPr>
                <a:bodyPr rot="0" spcFirstLastPara="1" vertOverflow="ellipsis" vert="horz" wrap="square" lIns="38098" tIns="19048" rIns="38098" bIns="19048" anchor="ctr" anchorCtr="1">
                  <a:spAutoFit/>
                </a:bodyPr>
                <a:lstStyle/>
                <a:p>
                  <a:pPr>
                    <a:defRPr sz="900" b="0" i="0" u="none" strike="noStrike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Pos val="ctr"/>
            <c:leaderLines>
              <c:spPr bwMode="auto">
                <a:prstGeom prst="rect">
                  <a:avLst/>
                </a:prstGeom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showBubbleSize val="0"/>
            <c:showCatName val="0"/>
            <c:showLeaderLines val="1"/>
            <c:showLegendKey val="0"/>
            <c:showPercent val="0"/>
            <c:showSerName val="0"/>
            <c:showVal val="1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098" tIns="19048" rIns="38098" bIns="19048" anchor="ctr" anchorCtr="1">
                <a:spAutoFit/>
              </a:bodyPr>
              <a:lstStyle/>
              <a:p>
                <a:pPr>
                  <a:defRPr sz="900" b="0" i="0" u="none" strike="noStrike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Лист1!$A$2:$A$3</c:f>
              <c:strCache>
                <c:ptCount val="2"/>
                <c:pt idx="0">
                  <c:v>Функциональные</c:v>
                </c:pt>
                <c:pt idx="1">
                  <c:v>GUI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</c:v>
                </c:pt>
                <c:pt idx="1">
                  <c:v>1</c:v>
                </c:pt>
              </c:numCache>
            </c:numRef>
          </c:val>
        </c:ser>
        <c:dLbls>
          <c:dLblPos val="ctr"/>
          <c:showBubbleSize val="0"/>
          <c:showCatName val="0"/>
          <c:showLeaderLines val="1"/>
          <c:showLegendKey val="0"/>
          <c:showPercent val="0"/>
          <c:showSerName val="0"/>
          <c:showVal val="1"/>
        </c:dLbls>
        <c:firstSliceAng val="0"/>
      </c:pieChart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Times New Roman"/>
              <a:ea typeface="+mn-ea"/>
              <a:cs typeface="Times New Roman"/>
            </a:defRPr>
          </a:pPr>
          <a:endParaRPr/>
        </a:p>
      </c:txPr>
    </c:legend>
    <c:plotVisOnly val="1"/>
    <c:dispBlanksAs val="gap"/>
    <c:showDLblsOverMax val="0"/>
  </c:chart>
  <c:spPr bwMode="auto">
    <a:xfrm>
      <a:off x="0" y="0"/>
      <a:ext cx="2181246" cy="2224765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/>
            </a:pPr>
            <a:r>
              <a:rPr lang="ru-RU" b="1">
                <a:latin typeface="Times New Roman"/>
                <a:ea typeface="Times New Roman"/>
                <a:cs typeface="Times New Roman"/>
              </a:rPr>
              <a:t>Распределение</a:t>
            </a:r>
            <a:r>
              <a:rPr lang="ru-RU" b="1">
                <a:latin typeface="Times New Roman"/>
                <a:ea typeface="Times New Roman"/>
                <a:cs typeface="Times New Roman"/>
              </a:rPr>
              <a:t> дефектов по степени критичности</a:t>
            </a:r>
            <a:endParaRPr b="1">
              <a:latin typeface="Times New Roman"/>
              <a:cs typeface="Times New Roman"/>
            </a:endParaRPr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dPt>
            <c:idx val="0"/>
            <c:spPr bwMode="auto">
              <a:prstGeom prst="rect">
                <a:avLst/>
              </a:prstGeom>
              <a:solidFill>
                <a:schemeClr val="accent1"/>
              </a:solidFill>
              <a:ln>
                <a:noFill/>
              </a:ln>
            </c:spPr>
          </c:dPt>
          <c:dPt>
            <c:idx val="1"/>
            <c:spPr bwMode="auto">
              <a:prstGeom prst="rect">
                <a:avLst/>
              </a:prstGeom>
              <a:solidFill>
                <a:schemeClr val="accent2"/>
              </a:solidFill>
              <a:ln>
                <a:noFill/>
              </a:ln>
            </c:spPr>
          </c:dPt>
          <c:dPt>
            <c:idx val="2"/>
            <c:spPr bwMode="auto">
              <a:prstGeom prst="rect">
                <a:avLst/>
              </a:prstGeom>
              <a:solidFill>
                <a:schemeClr val="accent3"/>
              </a:solidFill>
              <a:ln>
                <a:noFill/>
              </a:ln>
            </c:spPr>
          </c:dPt>
          <c:dPt>
            <c:idx val="3"/>
            <c:spPr bwMode="auto">
              <a:prstGeom prst="rect">
                <a:avLst/>
              </a:prstGeom>
              <a:solidFill>
                <a:schemeClr val="accent4"/>
              </a:solidFill>
              <a:ln>
                <a:noFill/>
              </a:ln>
            </c:spPr>
          </c:dPt>
          <c:dPt>
            <c:idx val="4"/>
            <c:spPr bwMode="auto">
              <a:prstGeom prst="rect">
                <a:avLst/>
              </a:prstGeom>
              <a:solidFill>
                <a:schemeClr val="accent5"/>
              </a:solidFill>
              <a:ln>
                <a:noFill/>
              </a:ln>
            </c:spPr>
          </c:dPt>
          <c:dLbls>
            <c:dLbl>
              <c:idx val="0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1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2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3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4"/>
              <c:dLblPos val="ctr"/>
              <c:layout/>
              <c:showBubbleSize val="0"/>
              <c:showCatName val="0"/>
              <c:showLegendKey val="0"/>
              <c:showPercent val="0"/>
              <c:showSerName val="0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Pos val="ctr"/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Лист1!$A$2:$A$6</c:f>
              <c:strCache>
                <c:ptCount val="5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  <c:pt idx="4">
                  <c:v>Enhancement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</c:ser>
        <c:dLbls>
          <c:dLblPos val="ctr"/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  <a:miter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gapWidth val="219"/>
        <c:overlap val="-25"/>
        <c:axId val="1866169493"/>
        <c:axId val="1866169494"/>
      </c:barChart>
      <c:catAx>
        <c:axId val="186616949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1866169494"/>
        <c:crosses val="autoZero"/>
        <c:auto val="1"/>
        <c:lblAlgn val="ctr"/>
        <c:lblOffset val="100"/>
        <c:noMultiLvlLbl val="0"/>
      </c:catAx>
      <c:valAx>
        <c:axId val="1866169494"/>
        <c:scaling>
          <c:orientation val="minMax"/>
          <c:max val="3.000000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1866169493"/>
        <c:crosses val="autoZero"/>
        <c:crossBetween val="between"/>
        <c:majorUnit val="1.000000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3457596" cy="236640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ysClr val="windowText" lastClr="000000"/>
                </a:solidFill>
                <a:latin typeface="Times New Roman"/>
                <a:ea typeface="+mn-ea"/>
                <a:cs typeface="Times New Roman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/>
                <a:cs typeface="Times New Roman"/>
              </a:rPr>
              <a:t>Распределение</a:t>
            </a:r>
            <a:r>
              <a:rPr lang="ru-RU">
                <a:solidFill>
                  <a:sysClr val="windowText" lastClr="000000"/>
                </a:solidFill>
                <a:latin typeface="Times New Roman"/>
                <a:cs typeface="Times New Roman"/>
              </a:rPr>
              <a:t> дефектов по модулям</a:t>
            </a:r>
            <a:endParaRPr lang="ru-RU">
              <a:solidFill>
                <a:sysClr val="windowText" lastClr="000000"/>
              </a:solidFill>
              <a:latin typeface="Times New Roman"/>
              <a:cs typeface="Times New Roman"/>
            </a:endParaRPr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ysClr val="windowText" lastClr="000000"/>
              </a:solidFill>
              <a:latin typeface="Times New Roman"/>
              <a:ea typeface="+mn-ea"/>
              <a:cs typeface="Times New Roman"/>
            </a:defRPr>
          </a:pPr>
          <a:endParaRPr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 bwMode="auto">
              <a:prstGeom prst="rect">
                <a:avLst/>
              </a:prstGeom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 bwMode="auto">
              <a:prstGeom prst="rect">
                <a:avLst/>
              </a:prstGeom>
              <a:solidFill>
                <a:schemeClr val="accent6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 bwMode="auto">
              <a:prstGeom prst="rect">
                <a:avLst/>
              </a:prstGeom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</c:dPt>
          <c:cat>
            <c:strRef>
              <c:f>Лист1!$A$2:$A$5</c:f>
              <c:strCache>
                <c:ptCount val="4"/>
                <c:pt idx="0">
                  <c:v>Методы работы с элементом</c:v>
                </c:pt>
                <c:pt idx="1">
                  <c:v>Интерфейс симулируемого  браузера</c:v>
                </c:pt>
                <c:pt idx="2">
                  <c:v>Конфигурационный файл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5"/>
        <c:axId val="1866169495"/>
        <c:axId val="1866169496"/>
      </c:barChart>
      <c:catAx>
        <c:axId val="1866169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ysClr val="windowText" lastClr="000000"/>
                </a:solidFill>
                <a:latin typeface="Times New Roman"/>
                <a:ea typeface="Arial"/>
                <a:cs typeface="Times New Roman"/>
              </a:defRPr>
            </a:pPr>
            <a:endParaRPr/>
          </a:p>
        </c:txPr>
        <c:crossAx val="1866169496"/>
        <c:crosses val="autoZero"/>
        <c:auto val="1"/>
        <c:lblAlgn val="ctr"/>
        <c:lblOffset val="100"/>
        <c:noMultiLvlLbl val="0"/>
      </c:catAx>
      <c:valAx>
        <c:axId val="1866169496"/>
        <c:scaling>
          <c:orientation val="minMax"/>
          <c:max val="3.000000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1866169495"/>
        <c:crosses val="autoZero"/>
        <c:crossBetween val="between"/>
        <c:majorUnit val="1.000000"/>
        <c:minorUnit val="1.000000"/>
      </c:valAx>
      <c:spPr bwMode="auto">
        <a:prstGeom prst="rect">
          <a:avLst/>
        </a:prstGeom>
        <a:noFill/>
        <a:ln>
          <a:noFill/>
        </a:ln>
        <a:effectLst/>
      </c:spPr>
    </c:plotArea>
    <c:plotVisOnly val="1"/>
    <c:dispBlanksAs val="gap"/>
    <c:showDLblsOverMax val="0"/>
  </c:chart>
  <c:spPr bwMode="auto">
    <a:xfrm>
      <a:off x="0" y="0"/>
      <a:ext cx="4343421" cy="2653570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2024-05-21T20:49:19Z</dcterms:modified>
</cp:coreProperties>
</file>