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</w:p>
    <w:p>
      <w:pPr>
        <w:pStyle w:val="9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cyan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935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09"/>
      <w:r>
        <w:rPr>
          <w:rFonts w:ascii="Times New Roman" w:hAnsi="Times New Roman"/>
          <w:bCs w:val="0"/>
          <w:color w:val="auto"/>
          <w:sz w:val="32"/>
        </w:rPr>
        <w:t xml:space="preserve">1</w:t>
      </w:r>
      <w:r>
        <w:rPr>
          <w:rFonts w:ascii="Times New Roman" w:hAnsi="Times New Roman"/>
          <w:color w:val="auto"/>
          <w:sz w:val="32"/>
        </w:rPr>
        <w:t xml:space="preserve"> ИНФОРМАЦИОННЫЕ СИСТЕМЫ В СФЕРЕ АВТОМАТИЗАЦИИ ТЕСТИРОВАНИЯ</w:t>
      </w:r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933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933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Style w:val="936"/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cyan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pBdr/>
        <w:spacing w:before="482" w:beforeAutospacing="0"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highlight w:val="none"/>
          <w:lang w:val="en-US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</w:p>
    <w:p>
      <w:pPr>
        <w:pStyle w:val="938"/>
        <w:pBdr/>
        <w:spacing/>
        <w:ind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  <w:t xml:space="preserve">1</w:t>
      </w:r>
      <w:r>
        <w:rPr>
          <w:b/>
          <w:bCs/>
          <w:highlight w:val="none"/>
          <w:lang w:val="en-US"/>
        </w:rPr>
        <w:t xml:space="preserve">.</w:t>
      </w:r>
      <w:r>
        <w:rPr>
          <w:b/>
          <w:bCs/>
          <w:highlight w:val="none"/>
          <w:lang w:val="ru-RU"/>
        </w:rPr>
        <w:t xml:space="preserve">3</w:t>
      </w:r>
      <w:r>
        <w:rPr>
          <w:b/>
          <w:bCs/>
          <w:highlight w:val="none"/>
          <w:lang w:val="en-US"/>
        </w:rPr>
        <w:tab/>
      </w:r>
      <w:r>
        <w:rPr>
          <w:b/>
          <w:bCs/>
        </w:rPr>
        <w:t xml:space="preserve">Выводы и постановка задач на дипломное проектирование</w:t>
      </w:r>
      <w:r>
        <w:rPr>
          <w:b/>
          <w:bCs/>
          <w:highlight w:val="cyan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33"/>
        <w:pBdr/>
        <w:spacing/>
        <w:ind w:firstLine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:lang w:val="ru-RU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933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937"/>
        </w:rPr>
        <w:t xml:space="preserve">Е</w:t>
      </w:r>
      <w:r>
        <w:rPr>
          <w:rStyle w:val="937"/>
        </w:rPr>
        <w:t xml:space="preserve"> </w:t>
      </w:r>
      <w:r>
        <w:t xml:space="preserve">ПРОГРАММНОГО СРЕДСТВА</w:t>
      </w:r>
      <w:bookmarkEnd w:id="0"/>
      <w:r/>
      <w:r>
        <w:rPr>
          <w14:ligatures w14:val="none"/>
        </w:rPr>
      </w:r>
    </w:p>
    <w:p>
      <w:pPr>
        <w:pStyle w:val="938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</w:p>
    <w:p>
      <w:pPr>
        <w:pStyle w:val="933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41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42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942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38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/>
      <w:r>
        <w:rPr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/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9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lang w:val="ru-RU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highlight w:val="none"/>
          <w:lang w:val="en-US"/>
        </w:rPr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7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green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8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/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/>
      <w:r/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/>
      <w:r/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/>
      <w:r/>
      <w:r/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lang w:val="ru-RU"/>
        </w:rPr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/>
      <w:r>
        <w:rPr>
          <w:lang w:val="ru-RU"/>
        </w:rPr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tbl>
      <w:tblPr>
        <w:tblStyle w:val="782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782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782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782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highlight w:val="green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ru-RU"/>
        </w:rPr>
      </w:r>
      <w:r>
        <w:rPr>
          <w:highlight w:val="green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531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mbria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0">
    <w:name w:val="Heading 1"/>
    <w:basedOn w:val="926"/>
    <w:next w:val="926"/>
    <w:link w:val="7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1">
    <w:name w:val="Heading 1 Char"/>
    <w:link w:val="7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2">
    <w:name w:val="Heading 2"/>
    <w:basedOn w:val="926"/>
    <w:next w:val="926"/>
    <w:link w:val="7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3">
    <w:name w:val="Heading 2 Char"/>
    <w:link w:val="7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4">
    <w:name w:val="Heading 3"/>
    <w:basedOn w:val="926"/>
    <w:next w:val="926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5">
    <w:name w:val="Heading 3 Char"/>
    <w:link w:val="7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926"/>
    <w:next w:val="926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7">
    <w:name w:val="Heading 4 Char"/>
    <w:link w:val="7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8">
    <w:name w:val="Heading 5"/>
    <w:basedOn w:val="926"/>
    <w:next w:val="926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9">
    <w:name w:val="Heading 5 Char"/>
    <w:link w:val="7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0">
    <w:name w:val="Heading 6"/>
    <w:basedOn w:val="926"/>
    <w:next w:val="926"/>
    <w:link w:val="7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1">
    <w:name w:val="Heading 6 Char"/>
    <w:link w:val="7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2">
    <w:name w:val="Heading 7"/>
    <w:basedOn w:val="926"/>
    <w:next w:val="926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3">
    <w:name w:val="Heading 7 Char"/>
    <w:link w:val="7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4">
    <w:name w:val="Heading 8"/>
    <w:basedOn w:val="926"/>
    <w:next w:val="926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5">
    <w:name w:val="Heading 8 Char"/>
    <w:link w:val="7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6">
    <w:name w:val="Heading 9"/>
    <w:basedOn w:val="926"/>
    <w:next w:val="926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7">
    <w:name w:val="Heading 9 Char"/>
    <w:link w:val="7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8">
    <w:name w:val="Title"/>
    <w:basedOn w:val="926"/>
    <w:next w:val="926"/>
    <w:link w:val="76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9">
    <w:name w:val="Title Char"/>
    <w:link w:val="768"/>
    <w:uiPriority w:val="10"/>
    <w:pPr>
      <w:pBdr/>
      <w:spacing/>
      <w:ind/>
    </w:pPr>
    <w:rPr>
      <w:sz w:val="48"/>
      <w:szCs w:val="48"/>
    </w:rPr>
  </w:style>
  <w:style w:type="paragraph" w:styleId="770">
    <w:name w:val="Subtitle"/>
    <w:basedOn w:val="926"/>
    <w:next w:val="926"/>
    <w:link w:val="77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1">
    <w:name w:val="Subtitle Char"/>
    <w:link w:val="770"/>
    <w:uiPriority w:val="11"/>
    <w:pPr>
      <w:pBdr/>
      <w:spacing/>
      <w:ind/>
    </w:pPr>
    <w:rPr>
      <w:sz w:val="24"/>
      <w:szCs w:val="24"/>
    </w:rPr>
  </w:style>
  <w:style w:type="paragraph" w:styleId="772">
    <w:name w:val="Quote"/>
    <w:basedOn w:val="926"/>
    <w:next w:val="926"/>
    <w:link w:val="773"/>
    <w:uiPriority w:val="29"/>
    <w:qFormat/>
    <w:pPr>
      <w:pBdr/>
      <w:spacing/>
      <w:ind w:right="720" w:left="720"/>
    </w:pPr>
    <w:rPr>
      <w:i/>
    </w:rPr>
  </w:style>
  <w:style w:type="character" w:styleId="773">
    <w:name w:val="Quote Char"/>
    <w:link w:val="772"/>
    <w:uiPriority w:val="29"/>
    <w:pPr>
      <w:pBdr/>
      <w:spacing/>
      <w:ind/>
    </w:pPr>
    <w:rPr>
      <w:i/>
    </w:rPr>
  </w:style>
  <w:style w:type="paragraph" w:styleId="774">
    <w:name w:val="Intense Quote"/>
    <w:basedOn w:val="926"/>
    <w:next w:val="926"/>
    <w:link w:val="7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5">
    <w:name w:val="Intense Quote Char"/>
    <w:link w:val="774"/>
    <w:uiPriority w:val="30"/>
    <w:pPr>
      <w:pBdr/>
      <w:spacing/>
      <w:ind/>
    </w:pPr>
    <w:rPr>
      <w:i/>
    </w:rPr>
  </w:style>
  <w:style w:type="paragraph" w:styleId="776">
    <w:name w:val="Header"/>
    <w:basedOn w:val="926"/>
    <w:link w:val="7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7">
    <w:name w:val="Header Char"/>
    <w:link w:val="776"/>
    <w:uiPriority w:val="99"/>
    <w:pPr>
      <w:pBdr/>
      <w:spacing/>
      <w:ind/>
    </w:pPr>
  </w:style>
  <w:style w:type="paragraph" w:styleId="778">
    <w:name w:val="Footer"/>
    <w:basedOn w:val="926"/>
    <w:link w:val="7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9">
    <w:name w:val="Footer Char"/>
    <w:link w:val="778"/>
    <w:uiPriority w:val="99"/>
    <w:pPr>
      <w:pBdr/>
      <w:spacing/>
      <w:ind/>
    </w:pPr>
  </w:style>
  <w:style w:type="paragraph" w:styleId="780">
    <w:name w:val="Caption"/>
    <w:basedOn w:val="926"/>
    <w:next w:val="9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778"/>
    <w:uiPriority w:val="99"/>
    <w:pPr>
      <w:pBdr/>
      <w:spacing/>
      <w:ind/>
    </w:pPr>
  </w:style>
  <w:style w:type="table" w:styleId="782">
    <w:name w:val="Table Grid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9">
    <w:name w:val="footnote text"/>
    <w:basedOn w:val="926"/>
    <w:link w:val="9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0">
    <w:name w:val="Footnote Text Char"/>
    <w:link w:val="909"/>
    <w:uiPriority w:val="99"/>
    <w:pPr>
      <w:pBdr/>
      <w:spacing/>
      <w:ind/>
    </w:pPr>
    <w:rPr>
      <w:sz w:val="18"/>
    </w:rPr>
  </w:style>
  <w:style w:type="character" w:styleId="91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26"/>
    <w:link w:val="9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3">
    <w:name w:val="Endnote Text Char"/>
    <w:link w:val="912"/>
    <w:uiPriority w:val="99"/>
    <w:pPr>
      <w:pBdr/>
      <w:spacing/>
      <w:ind/>
    </w:pPr>
    <w:rPr>
      <w:sz w:val="20"/>
    </w:rPr>
  </w:style>
  <w:style w:type="character" w:styleId="91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toc 1"/>
    <w:basedOn w:val="926"/>
    <w:next w:val="926"/>
    <w:uiPriority w:val="39"/>
    <w:unhideWhenUsed/>
    <w:pPr>
      <w:pBdr/>
      <w:spacing w:after="57"/>
      <w:ind w:right="0" w:firstLine="0" w:left="0"/>
    </w:pPr>
  </w:style>
  <w:style w:type="paragraph" w:styleId="916">
    <w:name w:val="toc 2"/>
    <w:basedOn w:val="926"/>
    <w:next w:val="926"/>
    <w:uiPriority w:val="39"/>
    <w:unhideWhenUsed/>
    <w:pPr>
      <w:pBdr/>
      <w:spacing w:after="57"/>
      <w:ind w:right="0" w:firstLine="0" w:left="283"/>
    </w:pPr>
  </w:style>
  <w:style w:type="paragraph" w:styleId="917">
    <w:name w:val="toc 3"/>
    <w:basedOn w:val="926"/>
    <w:next w:val="926"/>
    <w:uiPriority w:val="39"/>
    <w:unhideWhenUsed/>
    <w:pPr>
      <w:pBdr/>
      <w:spacing w:after="57"/>
      <w:ind w:right="0" w:firstLine="0" w:left="567"/>
    </w:pPr>
  </w:style>
  <w:style w:type="paragraph" w:styleId="918">
    <w:name w:val="toc 4"/>
    <w:basedOn w:val="926"/>
    <w:next w:val="926"/>
    <w:uiPriority w:val="39"/>
    <w:unhideWhenUsed/>
    <w:pPr>
      <w:pBdr/>
      <w:spacing w:after="57"/>
      <w:ind w:right="0" w:firstLine="0" w:left="850"/>
    </w:pPr>
  </w:style>
  <w:style w:type="paragraph" w:styleId="919">
    <w:name w:val="toc 5"/>
    <w:basedOn w:val="926"/>
    <w:next w:val="926"/>
    <w:uiPriority w:val="39"/>
    <w:unhideWhenUsed/>
    <w:pPr>
      <w:pBdr/>
      <w:spacing w:after="57"/>
      <w:ind w:right="0" w:firstLine="0" w:left="1134"/>
    </w:pPr>
  </w:style>
  <w:style w:type="paragraph" w:styleId="920">
    <w:name w:val="toc 6"/>
    <w:basedOn w:val="926"/>
    <w:next w:val="926"/>
    <w:uiPriority w:val="39"/>
    <w:unhideWhenUsed/>
    <w:pPr>
      <w:pBdr/>
      <w:spacing w:after="57"/>
      <w:ind w:right="0" w:firstLine="0" w:left="1417"/>
    </w:pPr>
  </w:style>
  <w:style w:type="paragraph" w:styleId="921">
    <w:name w:val="toc 7"/>
    <w:basedOn w:val="926"/>
    <w:next w:val="926"/>
    <w:uiPriority w:val="39"/>
    <w:unhideWhenUsed/>
    <w:pPr>
      <w:pBdr/>
      <w:spacing w:after="57"/>
      <w:ind w:right="0" w:firstLine="0" w:left="1701"/>
    </w:pPr>
  </w:style>
  <w:style w:type="paragraph" w:styleId="922">
    <w:name w:val="toc 8"/>
    <w:basedOn w:val="926"/>
    <w:next w:val="926"/>
    <w:uiPriority w:val="39"/>
    <w:unhideWhenUsed/>
    <w:pPr>
      <w:pBdr/>
      <w:spacing w:after="57"/>
      <w:ind w:right="0" w:firstLine="0" w:left="1984"/>
    </w:pPr>
  </w:style>
  <w:style w:type="paragraph" w:styleId="923">
    <w:name w:val="toc 9"/>
    <w:basedOn w:val="926"/>
    <w:next w:val="926"/>
    <w:uiPriority w:val="39"/>
    <w:unhideWhenUsed/>
    <w:pPr>
      <w:pBdr/>
      <w:spacing w:after="57"/>
      <w:ind w:right="0" w:firstLine="0" w:left="2268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6"/>
    <w:next w:val="926"/>
    <w:uiPriority w:val="99"/>
    <w:unhideWhenUsed/>
    <w:pPr>
      <w:pBdr/>
      <w:spacing w:after="0" w:afterAutospacing="0"/>
      <w:ind/>
    </w:pPr>
  </w:style>
  <w:style w:type="paragraph" w:styleId="926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paragraph" w:styleId="929">
    <w:name w:val="No Spacing"/>
    <w:basedOn w:val="926"/>
    <w:uiPriority w:val="1"/>
    <w:qFormat/>
    <w:pPr>
      <w:pBdr/>
      <w:spacing w:after="0" w:line="240" w:lineRule="auto"/>
      <w:ind/>
    </w:pPr>
  </w:style>
  <w:style w:type="paragraph" w:styleId="930">
    <w:name w:val="List Paragraph"/>
    <w:basedOn w:val="926"/>
    <w:uiPriority w:val="34"/>
    <w:qFormat/>
    <w:pPr>
      <w:pBdr/>
      <w:spacing/>
      <w:ind w:left="720"/>
      <w:contextualSpacing w:val="true"/>
    </w:pPr>
  </w:style>
  <w:style w:type="character" w:styleId="931" w:default="1">
    <w:name w:val="Default Paragraph Font"/>
    <w:uiPriority w:val="1"/>
    <w:semiHidden/>
    <w:unhideWhenUsed/>
    <w:pPr>
      <w:pBdr/>
      <w:spacing/>
      <w:ind/>
    </w:pPr>
  </w:style>
  <w:style w:type="character" w:styleId="932" w:customStyle="1">
    <w:name w:val="ГОСТ_character"/>
    <w:link w:val="933"/>
    <w:pPr>
      <w:pBdr/>
      <w:spacing/>
      <w:ind/>
    </w:pPr>
  </w:style>
  <w:style w:type="paragraph" w:styleId="933" w:customStyle="1">
    <w:name w:val="ГОСТ"/>
    <w:basedOn w:val="926"/>
    <w:link w:val="932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934" w:customStyle="1">
    <w:name w:val="ЗАГОЛОВОК ГОСТ_character"/>
    <w:link w:val="935"/>
    <w:pPr>
      <w:pBdr/>
      <w:spacing/>
      <w:ind/>
    </w:pPr>
    <w:rPr>
      <w:rStyle w:val="934"/>
      <w:rFonts w:ascii="Times New Roman" w:hAnsi="Times New Roman" w:eastAsia="Times New Roman" w:cs="Times New Roman"/>
      <w:b/>
      <w:bCs/>
      <w:sz w:val="32"/>
      <w:szCs w:val="32"/>
    </w:rPr>
  </w:style>
  <w:style w:type="paragraph" w:styleId="935" w:customStyle="1">
    <w:name w:val="ЗАГОЛОВОК ГОСТ"/>
    <w:basedOn w:val="750"/>
    <w:link w:val="934"/>
    <w:qFormat/>
    <w:pPr>
      <w:suppressLineNumbers w:val="false"/>
      <w:pBdr/>
      <w:spacing w:after="0" w:afterAutospacing="0" w:before="0" w:beforeAutospacing="0"/>
      <w:ind/>
      <w:jc w:val="center"/>
    </w:pPr>
    <w:rPr>
      <w:rStyle w:val="934"/>
      <w:rFonts w:ascii="Times New Roman" w:hAnsi="Times New Roman" w:eastAsia="Times New Roman" w:cs="Times New Roman"/>
      <w:b/>
      <w:bCs/>
      <w:sz w:val="32"/>
      <w:szCs w:val="32"/>
    </w:rPr>
  </w:style>
  <w:style w:type="character" w:styleId="936" w:customStyle="1">
    <w:name w:val="fontstyle03"/>
    <w:basedOn w:val="925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37" w:customStyle="1">
    <w:name w:val="ГО ПОДЗАГОЛОВОК_character"/>
    <w:link w:val="938"/>
    <w:pPr>
      <w:pBdr/>
      <w:spacing/>
      <w:ind/>
    </w:pPr>
    <w:rPr>
      <w:rFonts w:ascii="Times New Roman" w:hAnsi="Times New Roman"/>
      <w:color w:val="auto"/>
    </w:rPr>
  </w:style>
  <w:style w:type="paragraph" w:styleId="938" w:customStyle="1">
    <w:name w:val="ГО ПОДЗАГОЛОВОК"/>
    <w:basedOn w:val="756"/>
    <w:next w:val="926"/>
    <w:link w:val="937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939" w:customStyle="1">
    <w:name w:val="Название объекта по центру"/>
    <w:basedOn w:val="871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40" w:customStyle="1">
    <w:name w:val="List Bullet"/>
    <w:basedOn w:val="813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941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2024-04-21T10:05:42Z</dcterms:modified>
</cp:coreProperties>
</file>