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38"/>
        <w:pBdr/>
        <w:spacing/>
        <w:ind/>
        <w:jc w:val="center"/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eastAsia="Times New Roman" w:cs="Times New Roman"/>
          <w:b/>
          <w:bCs/>
          <w:highlight w:val="yellow"/>
          <w:lang w:val="en-US"/>
        </w:rPr>
      </w:r>
      <w:r>
        <w:rPr>
          <w:rFonts w:ascii="Times New Roman" w:hAnsi="Times New Roman" w:eastAsia="Times New Roman" w:cs="Times New Roman"/>
          <w:b/>
          <w:bCs/>
          <w:highlight w:val="yellow"/>
        </w:rPr>
        <w:t xml:space="preserve">ЛР-1. Обзор / Сравнительный анализ трех информационных систем</w:t>
      </w:r>
      <w:r>
        <w:rPr>
          <w:rFonts w:ascii="Times New Roman" w:hAnsi="Times New Roman" w:cs="Times New Roman"/>
          <w:b/>
          <w:bCs/>
          <w:highlight w:val="yellow"/>
        </w:rPr>
      </w:r>
      <w:r>
        <w:rPr>
          <w:rFonts w:ascii="Times New Roman" w:hAnsi="Times New Roman" w:cs="Times New Roman"/>
          <w:b/>
          <w:bCs/>
          <w:highlight w:val="yellow"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  <w:t xml:space="preserve">Вводное к теме.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В данный момент на р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ынке существует большое количество фреймворков по автоматизации тестирования, каждый из них  глобально выполняет одну и ту же задачу – автоматизировать ручные процессы при тестировании, но аналоги уникальны и имеют как свои преимущества, так и недостатки.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Каждый фреймворк нацелен на конкретную сферу тестирования.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Нек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оторые созданы для автоматизации тестирования пользовательского интерфейса веб-приложений, некоторые оптимизированы для работы с настольными приложениями, некоторые имеют функционал для симуляции действий на мобильных устройствах, другие могут тестировать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Application Programming Interface (API)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или базы данных.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  <w:t xml:space="preserve">О наличии на рынке аналогов.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Чтобы выбрать информационные системы для сравнения, в первую очередь требуется определить, какие категории инструментов мы можем выделить и отнести существующие аналоги к этим категориям.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результате информационного поиска, были выделены 6 конкретных категорий, описание каждой из них, их предназначение и примеры инструментов автоматизации, относящихся к этим категориям.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91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Инструменты для веб-тестирования: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предназначены для автоматизации тестирования веб-приложений. Примеры включают в себя: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11111"/>
          <w:sz w:val="28"/>
          <w:szCs w:val="28"/>
        </w:rPr>
        <w:t xml:space="preserve">Selenium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Популярный фреймворк для веб-автоматизации.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11111"/>
          <w:sz w:val="28"/>
          <w:szCs w:val="28"/>
        </w:rPr>
        <w:t xml:space="preserve">Cypress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Современный инструмент с уникальными возможностями.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11111"/>
          <w:sz w:val="28"/>
          <w:szCs w:val="28"/>
        </w:rPr>
        <w:t xml:space="preserve">WebDriverIO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Node.js-фреймворк для веб-тестирования.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Инструменты для мобильного тестирования: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предназначены для автоматизации тестирования мобильных приложений. Примеры: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11111"/>
          <w:sz w:val="28"/>
          <w:szCs w:val="28"/>
        </w:rPr>
        <w:t xml:space="preserve">Appium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Кросс-платформенный инструмент для мобильной автоматизации.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11111"/>
          <w:sz w:val="28"/>
          <w:szCs w:val="28"/>
        </w:rPr>
        <w:t xml:space="preserve">XCUITest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iOS) и </w:t>
      </w:r>
      <w:r>
        <w:rPr>
          <w:rFonts w:ascii="Times New Roman" w:hAnsi="Times New Roman" w:eastAsia="Times New Roman" w:cs="Times New Roman"/>
          <w:b/>
          <w:color w:val="111111"/>
          <w:sz w:val="28"/>
          <w:szCs w:val="28"/>
        </w:rPr>
        <w:t xml:space="preserve">Espresso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Android).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Инструменты для API-тестирования: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тестирование API. Примеры: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11111"/>
          <w:sz w:val="28"/>
          <w:szCs w:val="28"/>
        </w:rPr>
        <w:t xml:space="preserve">Postman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Инструмент для создания и отправки HTTP-запросов.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11111"/>
          <w:sz w:val="28"/>
          <w:szCs w:val="28"/>
        </w:rPr>
        <w:t xml:space="preserve">RestAssured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Java-библиотека для тестирования REST API.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Инструменты для нагрузочного тестирования: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позволяют оценить производительность системы под нагрузкой. Примеры: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11111"/>
          <w:sz w:val="28"/>
          <w:szCs w:val="28"/>
        </w:rPr>
        <w:t xml:space="preserve">JMeter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Мощный инструмент для нагрузочного тестирования.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11111"/>
          <w:sz w:val="28"/>
          <w:szCs w:val="28"/>
        </w:rPr>
        <w:t xml:space="preserve">Gatling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Scala-инструмент для тестирования производительности.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Инструменты для тестирования на уровне базы данных: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проверку данных в базах данных. Примеры: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11111"/>
          <w:sz w:val="28"/>
          <w:szCs w:val="28"/>
        </w:rPr>
        <w:t xml:space="preserve">DbUnit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Java-библиотека для тестирования баз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11111"/>
          <w:sz w:val="28"/>
          <w:szCs w:val="28"/>
        </w:rPr>
        <w:t xml:space="preserve">SQLUnit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Инструмент для запуска SQL-запросов в тестах.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Инструменты для функционального тестирования: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функциональное тестирование. Примеры: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Фреймворк для тестирования на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C#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11111"/>
          <w:sz w:val="28"/>
          <w:szCs w:val="28"/>
        </w:rPr>
        <w:t xml:space="preserve">JUnit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Еще один популярный фреймворк для Java.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567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  <w:t xml:space="preserve">Категории аналогов.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 Для определения категории, необходимой для сравнительного анализа – был проведён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 детальный анализ актуальности и востребованности в современном мире каждой из категорий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567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По результатам анализа был сделан вывод, что самой популярной и важной на данный момент категорией является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категория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“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Инструменты для веб-тестирования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”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. Далее предоставлено краткое обоснование выбора этой категории.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567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Веб-приложения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 продолжают оставаться востребованными и актуальными в современном мире. Вот несколько ключевых аспектов, подчеркивающих их популярность: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  <w14:ligatures w14:val="none"/>
        </w:rPr>
      </w:r>
    </w:p>
    <w:p>
      <w:pPr>
        <w:pStyle w:val="91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Рост числа веб-приложений: Каждый день появляется все больше веб-приложений – от интернет-магазинов до социальных сетей. Это связано с ростом онлайн-бизнеса, цифровой трансформацией и повышенным спросом на онлайн-сервисы.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Множество устройств и браузеров: Пользователи заходят на веб-сайты с разных устройств (компьютеры, смартфоны, планшеты) и используют разные браузеры. Веб-приложения должны быть адаптированы для всех сценариев.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Безопасность и защита данных: Веб-приложения подвергаются угрозам безопасности, таким как взломы, утечки данных и мошенничество. Тестирование и обеспечение безопасности – важные аспекты веб-разработки.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Постоянные обновления и новые требования: Веб-приложения постоянно обновляются, добавляются новые функции и исправляются ошибки. Разработчики должны следить за последними тенденциями и адаптироваться к новым требованиям.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Пользовательский опыт: Качество веб-приложения напрямую влияет на удовлетворенность пользователей. Отзывчивость, интуитивный интерфейс и быстрая загрузка – ключевые факторы успеха.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11111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567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  <w:t xml:space="preserve">Выбор исследуемых аналогов.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После определения точной категории был составлен список самых часто 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спользуемых на практике инструментов автоматизации, входящих в эту категорию, которые выполняют свои задачи на современных проектах по разработке ПО и широко используются в сфере тестирования пользовательских интерфейсов и внутренней логики веб-приложений.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567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Список основных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инструментов для автоматизации тестирования интерфейса веб-приложений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Playwright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Katalon Studio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TestCafe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WebDriverIO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Ranorex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Jest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Puppeteer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SikuliX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Applitools Eyes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UFT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Robot Framework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Screenster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CasperJS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Ghost Inspector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TestCraft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Cucumber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NightwatchJS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TestRigor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Rapise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Aquality framework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Testim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Subject7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Selenide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ACCELQ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iMacros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IBM Rational Functional Tester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Telerik Test Studio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Style w:val="91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Virtuoso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567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Для сравнительного анализа необходимо определить тройку наиболее подходящих инструментов.Чтобы выбрать наил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учшие фреймворки из списка были определены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самые влиятельные критерии выбора.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567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Основные критерии для выбора исследуемых аналогов могут включать следующие аспекты: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  <w14:ligatures w14:val="none"/>
        </w:rPr>
      </w:r>
    </w:p>
    <w:p>
      <w:pPr>
        <w:pStyle w:val="91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11111"/>
          <w:sz w:val="28"/>
          <w:szCs w:val="28"/>
        </w:rPr>
        <w:t xml:space="preserve">Функциональность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Какие функции и возможности предоставляют системы? Обратите внимание на автоматизацию тестов, интеграцию с другими инструментами, отчетность и т. д.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Возможности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Оцените, насколько фреймворк соответствует вашим потребностям. Рассмотрите поддержку различных типов тестов (функциональные, нагрузочные, UI-тесты), интеграцию с другими инструментами и возможности взаимодействия с элементами страницы.</w:t>
      </w:r>
      <w:r>
        <w:rPr>
          <w:rFonts w:ascii="Arial" w:hAnsi="Arial" w:eastAsia="Arial" w:cs="Arial"/>
          <w:sz w:val="24"/>
        </w:rPr>
      </w:r>
      <w:r/>
    </w:p>
    <w:p>
      <w:pPr>
        <w:pStyle w:val="91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11111"/>
          <w:sz w:val="28"/>
          <w:szCs w:val="28"/>
        </w:rPr>
        <w:t xml:space="preserve">Производительность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Как быстро системы выполняют тесты? Есть ли ограничения по объему тестов?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11111"/>
          <w:sz w:val="28"/>
          <w:szCs w:val="28"/>
        </w:rPr>
        <w:t xml:space="preserve">Поддержка</w:t>
      </w:r>
      <w:r>
        <w:rPr>
          <w:rFonts w:ascii="Times New Roman" w:hAnsi="Times New Roman" w:eastAsia="Times New Roman" w:cs="Times New Roman"/>
          <w:b/>
          <w:color w:val="111111"/>
          <w:sz w:val="28"/>
          <w:szCs w:val="28"/>
          <w:lang w:val="en-US"/>
        </w:rPr>
        <w:t xml:space="preserve"> и</w:t>
      </w:r>
      <w:r>
        <w:rPr>
          <w:rFonts w:ascii="Times New Roman" w:hAnsi="Times New Roman" w:eastAsia="Times New Roman" w:cs="Times New Roman"/>
          <w:b/>
          <w:color w:val="111111"/>
          <w:sz w:val="28"/>
          <w:szCs w:val="28"/>
          <w:lang w:val="ru-RU"/>
        </w:rPr>
        <w:t xml:space="preserve"> сообщество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Каков уровень поддержки со стороны разработчиков? Есть ли активное сообщество пользователей?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11111"/>
          <w:sz w:val="28"/>
          <w:szCs w:val="28"/>
        </w:rPr>
        <w:t xml:space="preserve">Сложность использования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Насколько легко развернуть и настроить систему? Требуется ли специальная экспертиза?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</w:p>
    <w:p>
      <w:pPr>
        <w:pStyle w:val="91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Язык программирования:</w:t>
      </w:r>
      <w:r>
        <w:rPr>
          <w:rFonts w:ascii="Arial" w:hAnsi="Arial" w:eastAsia="Arial" w:cs="Arial"/>
          <w:color w:val="111111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Убедитесь, что фреймворк поддерживает язык программирования, с которым вы знакомы.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91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Отчетность и логирование: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Рассмотрите, какие отчеты генерируются после выполнения тестов. Хорошая отчетность поможет вам анализировать результаты.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91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Совместимость с инфраструктурой: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Учтите, как фреймворк интегрируется с вашей существующей инфраструктурой (CI/CD-пайплайны, контейнеры и т. д.).</w:t>
      </w:r>
      <w:r/>
    </w:p>
    <w:p>
      <w:pPr>
        <w:pStyle w:val="91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Бюджет и лицензия: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Некоторые фреймворки могут быть платными или иметь ограничения по использованию. Убедитесь, что фреймворк соответствует вашему бюджету и требованиям.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567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567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На основе выделенных критериев были определены три наиболее влиятельных фреймворка для сравнения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: Selenium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WebDriver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, Cypress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Playwright.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567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Далее предоставлен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  <w:t xml:space="preserve">поочередный обзор каждого аналогоа.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Разбор фреймворка 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elenium WebDriver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представлен в таблице 1.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111111"/>
          <w:sz w:val="28"/>
          <w:szCs w:val="28"/>
          <w:highlight w:val="none"/>
          <w14:ligatures w14:val="none"/>
        </w:rPr>
      </w:r>
    </w:p>
    <w:tbl>
      <w:tblPr>
        <w:tblStyle w:val="76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677"/>
        <w:gridCol w:w="4677"/>
      </w:tblGrid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77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77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7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7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W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ebDriver.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 Разработан командой разработчиков и сообществом, без единого авторства.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7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Описание и назначение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77" w:type="dxa"/>
            <w:vAlign w:val="top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Это инструмент для автоматизации тестирования веб-приложений.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 позволяет создавать и запускать тесты, взаимодействуя с веб-страницами и веб-элементами  как это делает пользователь.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7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Основные компоненты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77" w:type="dxa"/>
            <w:vAlign w:val="top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Selenium WebDriver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Это основной компонент, который позволяет взаимодействовать с браузерами. Вы можете написать тесты на разных языках программирования (Java, Python, C# и др.) и выполнять их с помощью WebDriver.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Selenium IDE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Это расширение для браузера Chrome и Firefox, которое позволяет записывать и воспроизводить действия пользователя на веб-страницах.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Selenium Grid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Этот компонент позволяет распределить тесты на несколько машин, чтобы ускорить выполнение.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77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77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обеспечивает эффективное выполнение тестов, но производительность может зависеть от объема тестов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 настроек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77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77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имеет активное сообщество разработчиков и пользователей, что 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беспечивает поддержку и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решение проблем.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77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77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Настройка Selenium может быть сложной, но с хорошей документацией и опытом она становится более простой.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77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77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Поддерживает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ava, Python, C#, Ruby, Java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Script.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77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77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предоставляет возможности для генерации отчетов после выполнения тестов.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77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77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Selenium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интегрируется с CI/CD-пайплайнами, контейнерами и другими инструментами.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77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77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– это бесплатный и открытый инструмент, доступный для всех. С открытым исходным кодом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1. Описание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Selenium WebDriver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Разбор фреймворка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представлен в таблице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tbl>
      <w:tblPr>
        <w:tblStyle w:val="76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1016" w:lineRule="auto"/>
              <w:ind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разрабатывается Cypress.io, некоммерческой организацией, которая создает инструменты для тестирования веб-приложений.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инструмент для автоматизации веб-приложений, специализирующийся на тестировании фронтенда. Он обеспечивает простоту в создании и запуске тестов, а также взаимодействие с веб-страницами.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высокой производительностью благодаря своей архитектуре и способности выполнять тесты непосредственно в браузере.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У Cypress есть активное сообщество, которое предоставляет поддержку, обучающие материалы и решения проблем.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простым и интуитивным синтаксисом, что упрощает его использование даже для новичков.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поддерживает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только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JavaScript, что делает его доступным для широкого круга разработчиков.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предоставляет гибкие возможности для создания отчетов и логирования результатов тестов.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интегрируется с CI/CD-пайплайнами, Docker, и другими инструментами.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– это бесплатный и открытый инструмент, доступный для всех.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2. Описание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  <w14:ligatures w14:val="none"/>
        </w:rPr>
        <w:t xml:space="preserve">C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ypress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Разбор фреймворка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Playwright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практически аналогичен разбору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Cypress,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поэтому выделены отличительные особенности в таблице 3. А также проанализированы преимущества и недостатки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 таблице 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tbl>
      <w:tblPr>
        <w:tblStyle w:val="76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Playwright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библиотека для автоматизации веб-приложений, специализирующаяся на тестировании фронтенда.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Отличительные особенности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обладает кросс-платформенной, кросс-браузерной и кросс-языковой поддержкой, а также включает полезные функции, такие как автоматическое ожидание.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специально разработана для современного веба и обычно выполняет тесты очень быстро, даже для сложных проектов тестировани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3. Описание особенностей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tbl>
      <w:tblPr>
        <w:tblStyle w:val="76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Преимущества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Недостатки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Кросс-браузерная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работает с несколькими браузерами, включая Chromium (Chrome, Edge), Firefox и WebKit (Safari). Эта совместимость с разными браузерами позволяет проводить последовательное тестирование в разных средах.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Настройка Playwright может быть сложной, требует документации и опыта работы с подобными системами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Кросс-платформенная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Вы можете использовать Playwright для тестирования приложений на разных платформах, таких как мобильные устройства (Android), веб и настольные компьютеры (MacOS, Linux, Windows).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Playwright не предоставляет гибкие возможности для создания отчетов и логирования результатов тестов.Для этого требуются дополнительные плагины.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Эмуляция мобильных устройств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может эмулировать мобильные устройства, включая геолокацию, размер экрана и другие характеристики устройств.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плохо интегрируется с CI/CD-пайплайнами, Docker и другими инструментами.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нескольких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Изначально созданный для Node.js, Playwright теперь предлагает привязки для JavaScript, TypeScript, Python, Java и C#/.NET, что делает его доступным для широкого круга разработчиков и тестировщиков.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Режимы без графического интерфейса и с графическим интерфейсом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Он может запускать браузеры в режиме без графического интерфейса (headless) для более быстрого выполнения в тестовых средах и в режиме с графическим интерфейсом для разработки и отладки.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4. Преимущества и недостатки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sectPr>
      <w:footnotePr/>
      <w:endnotePr/>
      <w:type w:val="nextPage"/>
      <w:pgSz w:h="16838" w:orient="portrait" w:w="11906"/>
      <w:pgMar w:top="850" w:right="850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6">
    <w:name w:val="Heading 1"/>
    <w:basedOn w:val="912"/>
    <w:next w:val="912"/>
    <w:link w:val="73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37">
    <w:name w:val="Heading 1 Char"/>
    <w:link w:val="73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8">
    <w:name w:val="Heading 2"/>
    <w:basedOn w:val="912"/>
    <w:next w:val="912"/>
    <w:link w:val="73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9">
    <w:name w:val="Heading 2 Char"/>
    <w:link w:val="73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0">
    <w:name w:val="Heading 3"/>
    <w:basedOn w:val="912"/>
    <w:next w:val="912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1">
    <w:name w:val="Heading 3 Char"/>
    <w:link w:val="74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2">
    <w:name w:val="Heading 4"/>
    <w:basedOn w:val="912"/>
    <w:next w:val="912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3">
    <w:name w:val="Heading 4 Char"/>
    <w:link w:val="74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4">
    <w:name w:val="Heading 5"/>
    <w:basedOn w:val="912"/>
    <w:next w:val="912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5">
    <w:name w:val="Heading 5 Char"/>
    <w:link w:val="74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6">
    <w:name w:val="Heading 6"/>
    <w:basedOn w:val="912"/>
    <w:next w:val="912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7">
    <w:name w:val="Heading 6 Char"/>
    <w:link w:val="74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8">
    <w:name w:val="Heading 7"/>
    <w:basedOn w:val="912"/>
    <w:next w:val="912"/>
    <w:link w:val="74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7 Char"/>
    <w:link w:val="74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0">
    <w:name w:val="Heading 8"/>
    <w:basedOn w:val="912"/>
    <w:next w:val="912"/>
    <w:link w:val="75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1">
    <w:name w:val="Heading 8 Char"/>
    <w:link w:val="75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2">
    <w:name w:val="Heading 9"/>
    <w:basedOn w:val="912"/>
    <w:next w:val="912"/>
    <w:link w:val="75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3">
    <w:name w:val="Heading 9 Char"/>
    <w:link w:val="75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4">
    <w:name w:val="Title"/>
    <w:basedOn w:val="912"/>
    <w:next w:val="912"/>
    <w:link w:val="75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5">
    <w:name w:val="Title Char"/>
    <w:link w:val="754"/>
    <w:uiPriority w:val="10"/>
    <w:pPr>
      <w:pBdr/>
      <w:spacing/>
      <w:ind/>
    </w:pPr>
    <w:rPr>
      <w:sz w:val="48"/>
      <w:szCs w:val="48"/>
    </w:rPr>
  </w:style>
  <w:style w:type="paragraph" w:styleId="756">
    <w:name w:val="Subtitle"/>
    <w:basedOn w:val="912"/>
    <w:next w:val="912"/>
    <w:link w:val="75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7">
    <w:name w:val="Subtitle Char"/>
    <w:link w:val="756"/>
    <w:uiPriority w:val="11"/>
    <w:pPr>
      <w:pBdr/>
      <w:spacing/>
      <w:ind/>
    </w:pPr>
    <w:rPr>
      <w:sz w:val="24"/>
      <w:szCs w:val="24"/>
    </w:rPr>
  </w:style>
  <w:style w:type="paragraph" w:styleId="758">
    <w:name w:val="Quote"/>
    <w:basedOn w:val="912"/>
    <w:next w:val="912"/>
    <w:link w:val="759"/>
    <w:uiPriority w:val="29"/>
    <w:qFormat/>
    <w:pPr>
      <w:pBdr/>
      <w:spacing/>
      <w:ind w:right="720" w:left="720"/>
    </w:pPr>
    <w:rPr>
      <w:i/>
    </w:rPr>
  </w:style>
  <w:style w:type="character" w:styleId="759">
    <w:name w:val="Quote Char"/>
    <w:link w:val="758"/>
    <w:uiPriority w:val="29"/>
    <w:pPr>
      <w:pBdr/>
      <w:spacing/>
      <w:ind/>
    </w:pPr>
    <w:rPr>
      <w:i/>
    </w:rPr>
  </w:style>
  <w:style w:type="paragraph" w:styleId="760">
    <w:name w:val="Intense Quote"/>
    <w:basedOn w:val="912"/>
    <w:next w:val="912"/>
    <w:link w:val="76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1">
    <w:name w:val="Intense Quote Char"/>
    <w:link w:val="760"/>
    <w:uiPriority w:val="30"/>
    <w:pPr>
      <w:pBdr/>
      <w:spacing/>
      <w:ind/>
    </w:pPr>
    <w:rPr>
      <w:i/>
    </w:rPr>
  </w:style>
  <w:style w:type="paragraph" w:styleId="762">
    <w:name w:val="Header"/>
    <w:basedOn w:val="912"/>
    <w:link w:val="76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3">
    <w:name w:val="Header Char"/>
    <w:link w:val="762"/>
    <w:uiPriority w:val="99"/>
    <w:pPr>
      <w:pBdr/>
      <w:spacing/>
      <w:ind/>
    </w:pPr>
  </w:style>
  <w:style w:type="paragraph" w:styleId="764">
    <w:name w:val="Footer"/>
    <w:basedOn w:val="912"/>
    <w:link w:val="7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5">
    <w:name w:val="Footer Char"/>
    <w:link w:val="764"/>
    <w:uiPriority w:val="99"/>
    <w:pPr>
      <w:pBdr/>
      <w:spacing/>
      <w:ind/>
    </w:pPr>
  </w:style>
  <w:style w:type="paragraph" w:styleId="766">
    <w:name w:val="Caption"/>
    <w:basedOn w:val="912"/>
    <w:next w:val="91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7">
    <w:name w:val="Caption Char"/>
    <w:basedOn w:val="766"/>
    <w:link w:val="764"/>
    <w:uiPriority w:val="99"/>
    <w:pPr>
      <w:pBdr/>
      <w:spacing/>
      <w:ind/>
    </w:pPr>
  </w:style>
  <w:style w:type="table" w:styleId="768">
    <w:name w:val="Table Grid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Table Grid Light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1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2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1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2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3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5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6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5">
    <w:name w:val="footnote text"/>
    <w:basedOn w:val="912"/>
    <w:link w:val="89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6">
    <w:name w:val="Footnote Text Char"/>
    <w:link w:val="895"/>
    <w:uiPriority w:val="99"/>
    <w:pPr>
      <w:pBdr/>
      <w:spacing/>
      <w:ind/>
    </w:pPr>
    <w:rPr>
      <w:sz w:val="18"/>
    </w:rPr>
  </w:style>
  <w:style w:type="character" w:styleId="89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8">
    <w:name w:val="endnote text"/>
    <w:basedOn w:val="912"/>
    <w:link w:val="89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9">
    <w:name w:val="Endnote Text Char"/>
    <w:link w:val="898"/>
    <w:uiPriority w:val="99"/>
    <w:pPr>
      <w:pBdr/>
      <w:spacing/>
      <w:ind/>
    </w:pPr>
    <w:rPr>
      <w:sz w:val="20"/>
    </w:rPr>
  </w:style>
  <w:style w:type="character" w:styleId="90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toc 1"/>
    <w:basedOn w:val="912"/>
    <w:next w:val="912"/>
    <w:uiPriority w:val="39"/>
    <w:unhideWhenUsed/>
    <w:pPr>
      <w:pBdr/>
      <w:spacing w:after="57"/>
      <w:ind w:right="0" w:firstLine="0" w:left="0"/>
    </w:pPr>
  </w:style>
  <w:style w:type="paragraph" w:styleId="902">
    <w:name w:val="toc 2"/>
    <w:basedOn w:val="912"/>
    <w:next w:val="912"/>
    <w:uiPriority w:val="39"/>
    <w:unhideWhenUsed/>
    <w:pPr>
      <w:pBdr/>
      <w:spacing w:after="57"/>
      <w:ind w:right="0" w:firstLine="0" w:left="283"/>
    </w:pPr>
  </w:style>
  <w:style w:type="paragraph" w:styleId="903">
    <w:name w:val="toc 3"/>
    <w:basedOn w:val="912"/>
    <w:next w:val="912"/>
    <w:uiPriority w:val="39"/>
    <w:unhideWhenUsed/>
    <w:pPr>
      <w:pBdr/>
      <w:spacing w:after="57"/>
      <w:ind w:right="0" w:firstLine="0" w:left="567"/>
    </w:pPr>
  </w:style>
  <w:style w:type="paragraph" w:styleId="904">
    <w:name w:val="toc 4"/>
    <w:basedOn w:val="912"/>
    <w:next w:val="912"/>
    <w:uiPriority w:val="39"/>
    <w:unhideWhenUsed/>
    <w:pPr>
      <w:pBdr/>
      <w:spacing w:after="57"/>
      <w:ind w:right="0" w:firstLine="0" w:left="850"/>
    </w:pPr>
  </w:style>
  <w:style w:type="paragraph" w:styleId="905">
    <w:name w:val="toc 5"/>
    <w:basedOn w:val="912"/>
    <w:next w:val="912"/>
    <w:uiPriority w:val="39"/>
    <w:unhideWhenUsed/>
    <w:pPr>
      <w:pBdr/>
      <w:spacing w:after="57"/>
      <w:ind w:right="0" w:firstLine="0" w:left="1134"/>
    </w:pPr>
  </w:style>
  <w:style w:type="paragraph" w:styleId="906">
    <w:name w:val="toc 6"/>
    <w:basedOn w:val="912"/>
    <w:next w:val="912"/>
    <w:uiPriority w:val="39"/>
    <w:unhideWhenUsed/>
    <w:pPr>
      <w:pBdr/>
      <w:spacing w:after="57"/>
      <w:ind w:right="0" w:firstLine="0" w:left="1417"/>
    </w:pPr>
  </w:style>
  <w:style w:type="paragraph" w:styleId="907">
    <w:name w:val="toc 7"/>
    <w:basedOn w:val="912"/>
    <w:next w:val="912"/>
    <w:uiPriority w:val="39"/>
    <w:unhideWhenUsed/>
    <w:pPr>
      <w:pBdr/>
      <w:spacing w:after="57"/>
      <w:ind w:right="0" w:firstLine="0" w:left="1701"/>
    </w:pPr>
  </w:style>
  <w:style w:type="paragraph" w:styleId="908">
    <w:name w:val="toc 8"/>
    <w:basedOn w:val="912"/>
    <w:next w:val="912"/>
    <w:uiPriority w:val="39"/>
    <w:unhideWhenUsed/>
    <w:pPr>
      <w:pBdr/>
      <w:spacing w:after="57"/>
      <w:ind w:right="0" w:firstLine="0" w:left="1984"/>
    </w:pPr>
  </w:style>
  <w:style w:type="paragraph" w:styleId="909">
    <w:name w:val="toc 9"/>
    <w:basedOn w:val="912"/>
    <w:next w:val="912"/>
    <w:uiPriority w:val="39"/>
    <w:unhideWhenUsed/>
    <w:pPr>
      <w:pBdr/>
      <w:spacing w:after="57"/>
      <w:ind w:right="0" w:firstLine="0" w:left="2268"/>
    </w:p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</w:style>
  <w:style w:type="table" w:styleId="91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4" w:default="1">
    <w:name w:val="No List"/>
    <w:uiPriority w:val="99"/>
    <w:semiHidden/>
    <w:unhideWhenUsed/>
    <w:pPr>
      <w:pBdr/>
      <w:spacing/>
      <w:ind/>
    </w:pPr>
  </w:style>
  <w:style w:type="paragraph" w:styleId="915">
    <w:name w:val="No Spacing"/>
    <w:basedOn w:val="912"/>
    <w:uiPriority w:val="1"/>
    <w:qFormat/>
    <w:pPr>
      <w:pBdr/>
      <w:spacing w:after="0" w:line="240" w:lineRule="auto"/>
      <w:ind/>
    </w:pPr>
  </w:style>
  <w:style w:type="paragraph" w:styleId="916">
    <w:name w:val="List Paragraph"/>
    <w:basedOn w:val="912"/>
    <w:uiPriority w:val="34"/>
    <w:qFormat/>
    <w:pPr>
      <w:pBdr/>
      <w:spacing/>
      <w:ind w:left="720"/>
      <w:contextualSpacing w:val="true"/>
    </w:pPr>
  </w:style>
  <w:style w:type="character" w:styleId="91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2024-04-11T23:46:36Z</dcterms:modified>
</cp:coreProperties>
</file>